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43" w:rsidRPr="001555C8" w:rsidRDefault="00F13FC2">
      <w:pPr>
        <w:pStyle w:val="Abteilung2"/>
        <w:tabs>
          <w:tab w:val="clear" w:pos="0"/>
          <w:tab w:val="clear" w:pos="5103"/>
          <w:tab w:val="right" w:pos="9072"/>
        </w:tabs>
        <w:spacing w:before="500"/>
        <w:ind w:left="0"/>
      </w:pPr>
      <w:r w:rsidRPr="001555C8">
        <w:t xml:space="preserve">An </w:t>
      </w:r>
      <w:r w:rsidR="009C51C8" w:rsidRPr="001555C8">
        <w:t>das Gemeindeparlament</w:t>
      </w:r>
    </w:p>
    <w:p w:rsidR="00A56443" w:rsidRPr="001555C8" w:rsidRDefault="00A56443">
      <w:pPr>
        <w:pStyle w:val="Absender"/>
        <w:rPr>
          <w:sz w:val="22"/>
        </w:rPr>
      </w:pPr>
    </w:p>
    <w:p w:rsidR="001D4278" w:rsidRPr="001555C8" w:rsidRDefault="001D4278">
      <w:pPr>
        <w:pStyle w:val="Absender"/>
        <w:rPr>
          <w:sz w:val="22"/>
        </w:rPr>
      </w:pPr>
    </w:p>
    <w:p w:rsidR="00A56443" w:rsidRPr="001555C8" w:rsidRDefault="00A56443">
      <w:pPr>
        <w:pStyle w:val="Absender"/>
        <w:rPr>
          <w:sz w:val="22"/>
        </w:rPr>
      </w:pPr>
    </w:p>
    <w:p w:rsidR="00A56443" w:rsidRPr="001555C8" w:rsidRDefault="00A56443">
      <w:pPr>
        <w:pStyle w:val="Textkrper"/>
      </w:pPr>
    </w:p>
    <w:p w:rsidR="00A56443" w:rsidRPr="001555C8" w:rsidRDefault="00A56443">
      <w:pPr>
        <w:widowControl w:val="0"/>
        <w:jc w:val="both"/>
        <w:rPr>
          <w:color w:val="000000"/>
        </w:rPr>
      </w:pPr>
    </w:p>
    <w:p w:rsidR="00A56443" w:rsidRPr="001555C8" w:rsidRDefault="00A56443">
      <w:pPr>
        <w:widowControl w:val="0"/>
        <w:jc w:val="both"/>
        <w:rPr>
          <w:b/>
          <w:bCs/>
          <w:color w:val="000000"/>
          <w:sz w:val="30"/>
        </w:rPr>
      </w:pPr>
      <w:r w:rsidRPr="001555C8">
        <w:rPr>
          <w:b/>
          <w:bCs/>
          <w:color w:val="000000"/>
          <w:sz w:val="30"/>
        </w:rPr>
        <w:t>Bericht</w:t>
      </w:r>
      <w:r w:rsidR="009C51C8" w:rsidRPr="001555C8">
        <w:rPr>
          <w:b/>
          <w:bCs/>
          <w:color w:val="000000"/>
          <w:sz w:val="30"/>
        </w:rPr>
        <w:t xml:space="preserve"> und Antrag</w:t>
      </w:r>
      <w:r w:rsidR="0090791F">
        <w:rPr>
          <w:b/>
          <w:bCs/>
          <w:color w:val="000000"/>
          <w:sz w:val="30"/>
        </w:rPr>
        <w:t xml:space="preserve"> der Pensionskommission</w:t>
      </w:r>
    </w:p>
    <w:p w:rsidR="00A56443" w:rsidRPr="001555C8" w:rsidRDefault="00A56443">
      <w:pPr>
        <w:widowControl w:val="0"/>
        <w:jc w:val="both"/>
        <w:rPr>
          <w:color w:val="000000"/>
          <w:sz w:val="30"/>
        </w:rPr>
      </w:pPr>
    </w:p>
    <w:p w:rsidR="00A56443" w:rsidRPr="001555C8" w:rsidRDefault="00A56443">
      <w:pPr>
        <w:widowControl w:val="0"/>
        <w:jc w:val="both"/>
        <w:rPr>
          <w:bCs/>
          <w:color w:val="000000"/>
          <w:sz w:val="30"/>
          <w:szCs w:val="28"/>
        </w:rPr>
      </w:pPr>
      <w:bookmarkStart w:id="0" w:name="bmTitelRatschlag"/>
      <w:bookmarkEnd w:id="0"/>
      <w:r w:rsidRPr="001555C8">
        <w:rPr>
          <w:bCs/>
          <w:color w:val="000000"/>
          <w:sz w:val="30"/>
          <w:szCs w:val="28"/>
        </w:rPr>
        <w:t>betreffend</w:t>
      </w:r>
    </w:p>
    <w:p w:rsidR="00A56443" w:rsidRPr="001555C8" w:rsidRDefault="00A56443">
      <w:pPr>
        <w:widowControl w:val="0"/>
        <w:jc w:val="both"/>
        <w:rPr>
          <w:bCs/>
          <w:color w:val="000000"/>
          <w:sz w:val="30"/>
          <w:szCs w:val="30"/>
        </w:rPr>
      </w:pPr>
    </w:p>
    <w:p w:rsidR="000A4E83" w:rsidRPr="001555C8" w:rsidRDefault="000A4E83" w:rsidP="000A4E83">
      <w:pPr>
        <w:widowControl w:val="0"/>
        <w:jc w:val="both"/>
        <w:rPr>
          <w:b/>
          <w:bCs/>
          <w:color w:val="000000"/>
          <w:sz w:val="30"/>
        </w:rPr>
      </w:pPr>
      <w:r w:rsidRPr="001555C8">
        <w:rPr>
          <w:b/>
          <w:bCs/>
          <w:color w:val="000000"/>
          <w:sz w:val="30"/>
        </w:rPr>
        <w:t xml:space="preserve">Pensionskasse </w:t>
      </w:r>
      <w:r w:rsidR="009C51C8" w:rsidRPr="001555C8">
        <w:rPr>
          <w:b/>
          <w:bCs/>
          <w:color w:val="000000"/>
          <w:sz w:val="30"/>
        </w:rPr>
        <w:t>der</w:t>
      </w:r>
      <w:r w:rsidRPr="001555C8">
        <w:rPr>
          <w:b/>
          <w:bCs/>
          <w:color w:val="000000"/>
          <w:sz w:val="30"/>
        </w:rPr>
        <w:t xml:space="preserve"> </w:t>
      </w:r>
      <w:r w:rsidR="009C51C8" w:rsidRPr="001555C8">
        <w:rPr>
          <w:b/>
          <w:bCs/>
          <w:color w:val="000000"/>
          <w:sz w:val="30"/>
        </w:rPr>
        <w:t>Stadt Olten</w:t>
      </w:r>
    </w:p>
    <w:p w:rsidR="00895CEF" w:rsidRPr="001555C8" w:rsidRDefault="00895CEF" w:rsidP="000A4E83">
      <w:pPr>
        <w:widowControl w:val="0"/>
        <w:jc w:val="both"/>
        <w:rPr>
          <w:b/>
          <w:bCs/>
          <w:color w:val="000000"/>
          <w:sz w:val="30"/>
        </w:rPr>
      </w:pPr>
    </w:p>
    <w:p w:rsidR="00895CEF" w:rsidRPr="001555C8" w:rsidRDefault="00895CEF" w:rsidP="000A4E83">
      <w:pPr>
        <w:widowControl w:val="0"/>
        <w:jc w:val="both"/>
        <w:rPr>
          <w:b/>
          <w:bCs/>
          <w:color w:val="000000"/>
          <w:sz w:val="30"/>
        </w:rPr>
      </w:pPr>
      <w:r w:rsidRPr="001555C8">
        <w:rPr>
          <w:b/>
          <w:bCs/>
          <w:color w:val="000000"/>
          <w:sz w:val="30"/>
        </w:rPr>
        <w:t>Statuten</w:t>
      </w:r>
    </w:p>
    <w:p w:rsidR="0087280D" w:rsidRPr="001555C8" w:rsidRDefault="0087280D" w:rsidP="0087280D">
      <w:pPr>
        <w:widowControl w:val="0"/>
        <w:jc w:val="both"/>
        <w:rPr>
          <w:bCs/>
          <w:color w:val="000000"/>
          <w:sz w:val="30"/>
        </w:rPr>
      </w:pPr>
    </w:p>
    <w:p w:rsidR="00A56443" w:rsidRPr="001555C8" w:rsidRDefault="00CE22E6" w:rsidP="0087280D">
      <w:pPr>
        <w:widowControl w:val="0"/>
        <w:jc w:val="both"/>
        <w:rPr>
          <w:bCs/>
          <w:color w:val="000000"/>
          <w:sz w:val="30"/>
        </w:rPr>
      </w:pPr>
      <w:r>
        <w:rPr>
          <w:bCs/>
          <w:color w:val="000000"/>
          <w:sz w:val="30"/>
        </w:rPr>
        <w:t>Totalr</w:t>
      </w:r>
      <w:r w:rsidR="0087280D" w:rsidRPr="001555C8">
        <w:rPr>
          <w:bCs/>
          <w:color w:val="000000"/>
          <w:sz w:val="30"/>
        </w:rPr>
        <w:t xml:space="preserve">evision zur Umsetzung </w:t>
      </w:r>
      <w:r w:rsidR="000A4E83" w:rsidRPr="001555C8">
        <w:rPr>
          <w:bCs/>
          <w:color w:val="000000"/>
          <w:sz w:val="30"/>
        </w:rPr>
        <w:t>der bundesrechtlichen Änderungen des BVG</w:t>
      </w:r>
    </w:p>
    <w:p w:rsidR="00687CD4" w:rsidRPr="001555C8" w:rsidRDefault="00687CD4" w:rsidP="0087280D">
      <w:pPr>
        <w:widowControl w:val="0"/>
        <w:jc w:val="both"/>
        <w:rPr>
          <w:bCs/>
          <w:color w:val="000000"/>
          <w:sz w:val="30"/>
        </w:rPr>
      </w:pPr>
    </w:p>
    <w:p w:rsidR="009C51C8" w:rsidRPr="001555C8" w:rsidRDefault="009C51C8" w:rsidP="00CD5FCE">
      <w:pPr>
        <w:widowControl w:val="0"/>
        <w:jc w:val="both"/>
        <w:rPr>
          <w:bCs/>
          <w:sz w:val="30"/>
        </w:rPr>
      </w:pPr>
    </w:p>
    <w:p w:rsidR="001D424C" w:rsidRPr="001555C8" w:rsidRDefault="001D424C" w:rsidP="0087280D">
      <w:pPr>
        <w:widowControl w:val="0"/>
        <w:jc w:val="both"/>
        <w:rPr>
          <w:bCs/>
          <w:sz w:val="30"/>
        </w:rPr>
      </w:pPr>
    </w:p>
    <w:p w:rsidR="009C51C8" w:rsidRPr="001555C8" w:rsidRDefault="009C51C8" w:rsidP="0087280D">
      <w:pPr>
        <w:widowControl w:val="0"/>
        <w:jc w:val="both"/>
        <w:rPr>
          <w:bCs/>
          <w:color w:val="000000"/>
          <w:sz w:val="30"/>
        </w:rPr>
      </w:pPr>
    </w:p>
    <w:p w:rsidR="00A56443" w:rsidRPr="001555C8" w:rsidRDefault="00A56443">
      <w:pPr>
        <w:tabs>
          <w:tab w:val="right" w:pos="9072"/>
          <w:tab w:val="right" w:leader="dot" w:pos="9214"/>
        </w:tabs>
        <w:rPr>
          <w:b/>
          <w:bCs/>
        </w:rPr>
      </w:pPr>
      <w:r w:rsidRPr="001555C8">
        <w:rPr>
          <w:color w:val="000000"/>
        </w:rPr>
        <w:br w:type="page"/>
      </w:r>
      <w:r w:rsidRPr="001555C8">
        <w:rPr>
          <w:b/>
          <w:bCs/>
        </w:rPr>
        <w:lastRenderedPageBreak/>
        <w:t>Inhaltsverzeichnis</w:t>
      </w:r>
    </w:p>
    <w:p w:rsidR="00913B2F" w:rsidRDefault="00896579">
      <w:pPr>
        <w:pStyle w:val="Verzeichnis1"/>
        <w:rPr>
          <w:rFonts w:asciiTheme="minorHAnsi" w:eastAsiaTheme="minorEastAsia" w:hAnsiTheme="minorHAnsi" w:cstheme="minorBidi"/>
          <w:b w:val="0"/>
          <w:szCs w:val="22"/>
          <w:lang w:eastAsia="de-CH"/>
        </w:rPr>
      </w:pPr>
      <w:r w:rsidRPr="00896579">
        <w:rPr>
          <w:bCs/>
        </w:rPr>
        <w:fldChar w:fldCharType="begin"/>
      </w:r>
      <w:r w:rsidR="004760A9" w:rsidRPr="001555C8">
        <w:rPr>
          <w:bCs/>
        </w:rPr>
        <w:instrText xml:space="preserve"> TOC \o "1-3" \t "Überschrift 3 Paragraf;3;Überschrift 2 Gesetz;2" </w:instrText>
      </w:r>
      <w:r w:rsidRPr="00896579">
        <w:rPr>
          <w:bCs/>
        </w:rPr>
        <w:fldChar w:fldCharType="separate"/>
      </w:r>
      <w:r w:rsidR="00913B2F">
        <w:t>1.</w:t>
      </w:r>
      <w:r w:rsidR="00913B2F">
        <w:rPr>
          <w:rFonts w:asciiTheme="minorHAnsi" w:eastAsiaTheme="minorEastAsia" w:hAnsiTheme="minorHAnsi" w:cstheme="minorBidi"/>
          <w:b w:val="0"/>
          <w:szCs w:val="22"/>
          <w:lang w:eastAsia="de-CH"/>
        </w:rPr>
        <w:tab/>
      </w:r>
      <w:r w:rsidR="00913B2F">
        <w:t>Kurzzusammenfassung</w:t>
      </w:r>
      <w:r w:rsidR="00913B2F">
        <w:tab/>
      </w:r>
      <w:r>
        <w:fldChar w:fldCharType="begin"/>
      </w:r>
      <w:r w:rsidR="00913B2F">
        <w:instrText xml:space="preserve"> PAGEREF _Toc358786175 \h </w:instrText>
      </w:r>
      <w:r>
        <w:fldChar w:fldCharType="separate"/>
      </w:r>
      <w:r w:rsidR="006674A1">
        <w:t>4</w:t>
      </w:r>
      <w:r>
        <w:fldChar w:fldCharType="end"/>
      </w:r>
    </w:p>
    <w:p w:rsidR="00913B2F" w:rsidRDefault="00913B2F">
      <w:pPr>
        <w:pStyle w:val="Verzeichnis1"/>
        <w:rPr>
          <w:rFonts w:asciiTheme="minorHAnsi" w:eastAsiaTheme="minorEastAsia" w:hAnsiTheme="minorHAnsi" w:cstheme="minorBidi"/>
          <w:b w:val="0"/>
          <w:szCs w:val="22"/>
          <w:lang w:eastAsia="de-CH"/>
        </w:rPr>
      </w:pPr>
      <w:r>
        <w:t>2.</w:t>
      </w:r>
      <w:r>
        <w:rPr>
          <w:rFonts w:asciiTheme="minorHAnsi" w:eastAsiaTheme="minorEastAsia" w:hAnsiTheme="minorHAnsi" w:cstheme="minorBidi"/>
          <w:b w:val="0"/>
          <w:szCs w:val="22"/>
          <w:lang w:eastAsia="de-CH"/>
        </w:rPr>
        <w:tab/>
      </w:r>
      <w:r>
        <w:t>Einleitung</w:t>
      </w:r>
      <w:r>
        <w:tab/>
      </w:r>
      <w:r w:rsidR="00896579">
        <w:fldChar w:fldCharType="begin"/>
      </w:r>
      <w:r>
        <w:instrText xml:space="preserve"> PAGEREF _Toc358786176 \h </w:instrText>
      </w:r>
      <w:r w:rsidR="00896579">
        <w:fldChar w:fldCharType="separate"/>
      </w:r>
      <w:r w:rsidR="006674A1">
        <w:t>4</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3.</w:t>
      </w:r>
      <w:r>
        <w:rPr>
          <w:rFonts w:asciiTheme="minorHAnsi" w:eastAsiaTheme="minorEastAsia" w:hAnsiTheme="minorHAnsi" w:cstheme="minorBidi"/>
          <w:b w:val="0"/>
          <w:szCs w:val="22"/>
          <w:lang w:eastAsia="de-CH"/>
        </w:rPr>
        <w:tab/>
      </w:r>
      <w:r>
        <w:t>Finanzielle Entwicklung seit 2010 und aktueller Stand</w:t>
      </w:r>
      <w:r>
        <w:tab/>
      </w:r>
      <w:r w:rsidR="00896579">
        <w:fldChar w:fldCharType="begin"/>
      </w:r>
      <w:r>
        <w:instrText xml:space="preserve"> PAGEREF _Toc358786177 \h </w:instrText>
      </w:r>
      <w:r w:rsidR="00896579">
        <w:fldChar w:fldCharType="separate"/>
      </w:r>
      <w:r w:rsidR="006674A1">
        <w:t>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3.1</w:t>
      </w:r>
      <w:r>
        <w:rPr>
          <w:rFonts w:asciiTheme="minorHAnsi" w:eastAsiaTheme="minorEastAsia" w:hAnsiTheme="minorHAnsi" w:cstheme="minorBidi"/>
          <w:sz w:val="22"/>
          <w:szCs w:val="22"/>
          <w:lang w:eastAsia="de-CH"/>
        </w:rPr>
        <w:tab/>
      </w:r>
      <w:r>
        <w:t>Kurzer Abriss der Revisionen seit 2012</w:t>
      </w:r>
      <w:r>
        <w:tab/>
      </w:r>
      <w:r w:rsidR="00896579">
        <w:fldChar w:fldCharType="begin"/>
      </w:r>
      <w:r>
        <w:instrText xml:space="preserve"> PAGEREF _Toc358786178 \h </w:instrText>
      </w:r>
      <w:r w:rsidR="00896579">
        <w:fldChar w:fldCharType="separate"/>
      </w:r>
      <w:r w:rsidR="006674A1">
        <w:t>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3.2</w:t>
      </w:r>
      <w:r>
        <w:rPr>
          <w:rFonts w:asciiTheme="minorHAnsi" w:eastAsiaTheme="minorEastAsia" w:hAnsiTheme="minorHAnsi" w:cstheme="minorBidi"/>
          <w:sz w:val="22"/>
          <w:szCs w:val="22"/>
          <w:lang w:eastAsia="de-CH"/>
        </w:rPr>
        <w:tab/>
      </w:r>
      <w:r>
        <w:t>Aktueller Stand</w:t>
      </w:r>
      <w:r>
        <w:tab/>
      </w:r>
      <w:r w:rsidR="00896579">
        <w:fldChar w:fldCharType="begin"/>
      </w:r>
      <w:r>
        <w:instrText xml:space="preserve"> PAGEREF _Toc358786179 \h </w:instrText>
      </w:r>
      <w:r w:rsidR="00896579">
        <w:fldChar w:fldCharType="separate"/>
      </w:r>
      <w:r w:rsidR="006674A1">
        <w:t>5</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4.</w:t>
      </w:r>
      <w:r>
        <w:rPr>
          <w:rFonts w:asciiTheme="minorHAnsi" w:eastAsiaTheme="minorEastAsia" w:hAnsiTheme="minorHAnsi" w:cstheme="minorBidi"/>
          <w:b w:val="0"/>
          <w:szCs w:val="22"/>
          <w:lang w:eastAsia="de-CH"/>
        </w:rPr>
        <w:tab/>
      </w:r>
      <w:r>
        <w:t>Gesetzliche Rahmenbedingungen</w:t>
      </w:r>
      <w:r>
        <w:tab/>
      </w:r>
      <w:r w:rsidR="00896579">
        <w:fldChar w:fldCharType="begin"/>
      </w:r>
      <w:r>
        <w:instrText xml:space="preserve"> PAGEREF _Toc358786180 \h </w:instrText>
      </w:r>
      <w:r w:rsidR="00896579">
        <w:fldChar w:fldCharType="separate"/>
      </w:r>
      <w:r w:rsidR="006674A1">
        <w:t>6</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4.1</w:t>
      </w:r>
      <w:r>
        <w:rPr>
          <w:rFonts w:asciiTheme="minorHAnsi" w:eastAsiaTheme="minorEastAsia" w:hAnsiTheme="minorHAnsi" w:cstheme="minorBidi"/>
          <w:sz w:val="22"/>
          <w:szCs w:val="22"/>
          <w:lang w:eastAsia="de-CH"/>
        </w:rPr>
        <w:tab/>
      </w:r>
      <w:r>
        <w:t>Überblick</w:t>
      </w:r>
      <w:r>
        <w:tab/>
      </w:r>
      <w:r w:rsidR="00896579">
        <w:fldChar w:fldCharType="begin"/>
      </w:r>
      <w:r>
        <w:instrText xml:space="preserve"> PAGEREF _Toc358786181 \h </w:instrText>
      </w:r>
      <w:r w:rsidR="00896579">
        <w:fldChar w:fldCharType="separate"/>
      </w:r>
      <w:r w:rsidR="006674A1">
        <w:t>6</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4.1.1</w:t>
      </w:r>
      <w:r>
        <w:rPr>
          <w:rFonts w:asciiTheme="minorHAnsi" w:eastAsiaTheme="minorEastAsia" w:hAnsiTheme="minorHAnsi" w:cstheme="minorBidi"/>
          <w:sz w:val="22"/>
          <w:lang w:eastAsia="de-CH"/>
        </w:rPr>
        <w:tab/>
      </w:r>
      <w:r>
        <w:rPr>
          <w:lang w:eastAsia="de-CH"/>
        </w:rPr>
        <w:t>Festlegen der Leistungen oder der Finanzierung</w:t>
      </w:r>
      <w:r>
        <w:tab/>
      </w:r>
      <w:r w:rsidR="00896579">
        <w:fldChar w:fldCharType="begin"/>
      </w:r>
      <w:r>
        <w:instrText xml:space="preserve"> PAGEREF _Toc358786182 \h </w:instrText>
      </w:r>
      <w:r w:rsidR="00896579">
        <w:fldChar w:fldCharType="separate"/>
      </w:r>
      <w:r w:rsidR="006674A1">
        <w:t>6</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4.1.2</w:t>
      </w:r>
      <w:r>
        <w:rPr>
          <w:rFonts w:asciiTheme="minorHAnsi" w:eastAsiaTheme="minorEastAsia" w:hAnsiTheme="minorHAnsi" w:cstheme="minorBidi"/>
          <w:sz w:val="22"/>
          <w:lang w:eastAsia="de-CH"/>
        </w:rPr>
        <w:tab/>
      </w:r>
      <w:r>
        <w:rPr>
          <w:lang w:eastAsia="de-CH"/>
        </w:rPr>
        <w:t>Empfehlung Festlegen der Finanzierung</w:t>
      </w:r>
      <w:r>
        <w:tab/>
      </w:r>
      <w:r w:rsidR="00896579">
        <w:fldChar w:fldCharType="begin"/>
      </w:r>
      <w:r>
        <w:instrText xml:space="preserve"> PAGEREF _Toc358786183 \h </w:instrText>
      </w:r>
      <w:r w:rsidR="00896579">
        <w:fldChar w:fldCharType="separate"/>
      </w:r>
      <w:r w:rsidR="006674A1">
        <w:t>7</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4.2</w:t>
      </w:r>
      <w:r>
        <w:rPr>
          <w:rFonts w:asciiTheme="minorHAnsi" w:eastAsiaTheme="minorEastAsia" w:hAnsiTheme="minorHAnsi" w:cstheme="minorBidi"/>
          <w:sz w:val="22"/>
          <w:szCs w:val="22"/>
          <w:lang w:eastAsia="de-CH"/>
        </w:rPr>
        <w:tab/>
      </w:r>
      <w:r>
        <w:t>Vollkapitalisierung oder Teilkapitalisierung mit Staatsgarantie</w:t>
      </w:r>
      <w:r>
        <w:tab/>
      </w:r>
      <w:r w:rsidR="00896579">
        <w:fldChar w:fldCharType="begin"/>
      </w:r>
      <w:r>
        <w:instrText xml:space="preserve"> PAGEREF _Toc358786184 \h </w:instrText>
      </w:r>
      <w:r w:rsidR="00896579">
        <w:fldChar w:fldCharType="separate"/>
      </w:r>
      <w:r w:rsidR="006674A1">
        <w:t>7</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4.2.1</w:t>
      </w:r>
      <w:r>
        <w:rPr>
          <w:rFonts w:asciiTheme="minorHAnsi" w:eastAsiaTheme="minorEastAsia" w:hAnsiTheme="minorHAnsi" w:cstheme="minorBidi"/>
          <w:sz w:val="22"/>
          <w:lang w:eastAsia="de-CH"/>
        </w:rPr>
        <w:tab/>
      </w:r>
      <w:r>
        <w:rPr>
          <w:lang w:eastAsia="de-CH"/>
        </w:rPr>
        <w:t>Einleitung</w:t>
      </w:r>
      <w:r>
        <w:tab/>
      </w:r>
      <w:r w:rsidR="00896579">
        <w:fldChar w:fldCharType="begin"/>
      </w:r>
      <w:r>
        <w:instrText xml:space="preserve"> PAGEREF _Toc358786185 \h </w:instrText>
      </w:r>
      <w:r w:rsidR="00896579">
        <w:fldChar w:fldCharType="separate"/>
      </w:r>
      <w:r w:rsidR="006674A1">
        <w:t>7</w:t>
      </w:r>
      <w:r w:rsidR="00896579">
        <w:fldChar w:fldCharType="end"/>
      </w:r>
    </w:p>
    <w:p w:rsidR="00913B2F" w:rsidRDefault="00913B2F">
      <w:pPr>
        <w:pStyle w:val="Verzeichnis3"/>
        <w:rPr>
          <w:rFonts w:asciiTheme="minorHAnsi" w:eastAsiaTheme="minorEastAsia" w:hAnsiTheme="minorHAnsi" w:cstheme="minorBidi"/>
          <w:sz w:val="22"/>
          <w:lang w:eastAsia="de-CH"/>
        </w:rPr>
      </w:pPr>
      <w:r>
        <w:t>4.2.2</w:t>
      </w:r>
      <w:r>
        <w:rPr>
          <w:rFonts w:asciiTheme="minorHAnsi" w:eastAsiaTheme="minorEastAsia" w:hAnsiTheme="minorHAnsi" w:cstheme="minorBidi"/>
          <w:sz w:val="22"/>
          <w:lang w:eastAsia="de-CH"/>
        </w:rPr>
        <w:tab/>
      </w:r>
      <w:r>
        <w:t>Vollkapitalisierung</w:t>
      </w:r>
      <w:r>
        <w:tab/>
      </w:r>
      <w:r w:rsidR="00896579">
        <w:fldChar w:fldCharType="begin"/>
      </w:r>
      <w:r>
        <w:instrText xml:space="preserve"> PAGEREF _Toc358786186 \h </w:instrText>
      </w:r>
      <w:r w:rsidR="00896579">
        <w:fldChar w:fldCharType="separate"/>
      </w:r>
      <w:r w:rsidR="006674A1">
        <w:t>7</w:t>
      </w:r>
      <w:r w:rsidR="00896579">
        <w:fldChar w:fldCharType="end"/>
      </w:r>
    </w:p>
    <w:p w:rsidR="00913B2F" w:rsidRDefault="00913B2F">
      <w:pPr>
        <w:pStyle w:val="Verzeichnis3"/>
        <w:rPr>
          <w:rFonts w:asciiTheme="minorHAnsi" w:eastAsiaTheme="minorEastAsia" w:hAnsiTheme="minorHAnsi" w:cstheme="minorBidi"/>
          <w:sz w:val="22"/>
          <w:lang w:eastAsia="de-CH"/>
        </w:rPr>
      </w:pPr>
      <w:r>
        <w:t>4.2.3</w:t>
      </w:r>
      <w:r>
        <w:rPr>
          <w:rFonts w:asciiTheme="minorHAnsi" w:eastAsiaTheme="minorEastAsia" w:hAnsiTheme="minorHAnsi" w:cstheme="minorBidi"/>
          <w:sz w:val="22"/>
          <w:lang w:eastAsia="de-CH"/>
        </w:rPr>
        <w:tab/>
      </w:r>
      <w:r>
        <w:t>Teilkapitalisierung</w:t>
      </w:r>
      <w:r>
        <w:tab/>
      </w:r>
      <w:r w:rsidR="00896579">
        <w:fldChar w:fldCharType="begin"/>
      </w:r>
      <w:r>
        <w:instrText xml:space="preserve"> PAGEREF _Toc358786187 \h </w:instrText>
      </w:r>
      <w:r w:rsidR="00896579">
        <w:fldChar w:fldCharType="separate"/>
      </w:r>
      <w:r w:rsidR="006674A1">
        <w:t>8</w:t>
      </w:r>
      <w:r w:rsidR="00896579">
        <w:fldChar w:fldCharType="end"/>
      </w:r>
    </w:p>
    <w:p w:rsidR="00913B2F" w:rsidRDefault="00913B2F">
      <w:pPr>
        <w:pStyle w:val="Verzeichnis3"/>
        <w:rPr>
          <w:rFonts w:asciiTheme="minorHAnsi" w:eastAsiaTheme="minorEastAsia" w:hAnsiTheme="minorHAnsi" w:cstheme="minorBidi"/>
          <w:sz w:val="22"/>
          <w:lang w:eastAsia="de-CH"/>
        </w:rPr>
      </w:pPr>
      <w:r>
        <w:t>4.2.4</w:t>
      </w:r>
      <w:r>
        <w:rPr>
          <w:rFonts w:asciiTheme="minorHAnsi" w:eastAsiaTheme="minorEastAsia" w:hAnsiTheme="minorHAnsi" w:cstheme="minorBidi"/>
          <w:sz w:val="22"/>
          <w:lang w:eastAsia="de-CH"/>
        </w:rPr>
        <w:tab/>
      </w:r>
      <w:r>
        <w:t>Schematischer Vergleich der beiden Systeme</w:t>
      </w:r>
      <w:r>
        <w:tab/>
      </w:r>
      <w:r w:rsidR="00896579">
        <w:fldChar w:fldCharType="begin"/>
      </w:r>
      <w:r>
        <w:instrText xml:space="preserve"> PAGEREF _Toc358786188 \h </w:instrText>
      </w:r>
      <w:r w:rsidR="00896579">
        <w:fldChar w:fldCharType="separate"/>
      </w:r>
      <w:r w:rsidR="006674A1">
        <w:t>9</w:t>
      </w:r>
      <w:r w:rsidR="00896579">
        <w:fldChar w:fldCharType="end"/>
      </w:r>
    </w:p>
    <w:p w:rsidR="00913B2F" w:rsidRDefault="00913B2F">
      <w:pPr>
        <w:pStyle w:val="Verzeichnis3"/>
        <w:rPr>
          <w:rFonts w:asciiTheme="minorHAnsi" w:eastAsiaTheme="minorEastAsia" w:hAnsiTheme="minorHAnsi" w:cstheme="minorBidi"/>
          <w:sz w:val="22"/>
          <w:lang w:eastAsia="de-CH"/>
        </w:rPr>
      </w:pPr>
      <w:r>
        <w:t>4.2.5</w:t>
      </w:r>
      <w:r>
        <w:rPr>
          <w:rFonts w:asciiTheme="minorHAnsi" w:eastAsiaTheme="minorEastAsia" w:hAnsiTheme="minorHAnsi" w:cstheme="minorBidi"/>
          <w:sz w:val="22"/>
          <w:lang w:eastAsia="de-CH"/>
        </w:rPr>
        <w:tab/>
      </w:r>
      <w:r>
        <w:t>Empfehlung des Systems einer Teilkapitalisierung</w:t>
      </w:r>
      <w:r>
        <w:tab/>
      </w:r>
      <w:r w:rsidR="00896579">
        <w:fldChar w:fldCharType="begin"/>
      </w:r>
      <w:r>
        <w:instrText xml:space="preserve"> PAGEREF _Toc358786189 \h </w:instrText>
      </w:r>
      <w:r w:rsidR="00896579">
        <w:fldChar w:fldCharType="separate"/>
      </w:r>
      <w:r w:rsidR="006674A1">
        <w:t>10</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5.</w:t>
      </w:r>
      <w:r>
        <w:rPr>
          <w:rFonts w:asciiTheme="minorHAnsi" w:eastAsiaTheme="minorEastAsia" w:hAnsiTheme="minorHAnsi" w:cstheme="minorBidi"/>
          <w:b w:val="0"/>
          <w:szCs w:val="22"/>
          <w:lang w:eastAsia="de-CH"/>
        </w:rPr>
        <w:tab/>
      </w:r>
      <w:r>
        <w:t>Politische und personalpolitische Rahmenbedingungen</w:t>
      </w:r>
      <w:r>
        <w:tab/>
      </w:r>
      <w:r w:rsidR="00896579">
        <w:fldChar w:fldCharType="begin"/>
      </w:r>
      <w:r>
        <w:instrText xml:space="preserve"> PAGEREF _Toc358786190 \h </w:instrText>
      </w:r>
      <w:r w:rsidR="00896579">
        <w:fldChar w:fldCharType="separate"/>
      </w:r>
      <w:r w:rsidR="006674A1">
        <w:t>12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5.1</w:t>
      </w:r>
      <w:r>
        <w:rPr>
          <w:rFonts w:asciiTheme="minorHAnsi" w:eastAsiaTheme="minorEastAsia" w:hAnsiTheme="minorHAnsi" w:cstheme="minorBidi"/>
          <w:sz w:val="22"/>
          <w:szCs w:val="22"/>
          <w:lang w:eastAsia="de-CH"/>
        </w:rPr>
        <w:tab/>
      </w:r>
      <w:r>
        <w:t>Heutige Beiträge</w:t>
      </w:r>
      <w:r>
        <w:tab/>
      </w:r>
      <w:r w:rsidR="00896579">
        <w:fldChar w:fldCharType="begin"/>
      </w:r>
      <w:r>
        <w:instrText xml:space="preserve"> PAGEREF _Toc358786191 \h </w:instrText>
      </w:r>
      <w:r w:rsidR="00896579">
        <w:fldChar w:fldCharType="separate"/>
      </w:r>
      <w:r w:rsidR="006674A1">
        <w:t>12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5.2</w:t>
      </w:r>
      <w:r>
        <w:rPr>
          <w:rFonts w:asciiTheme="minorHAnsi" w:eastAsiaTheme="minorEastAsia" w:hAnsiTheme="minorHAnsi" w:cstheme="minorBidi"/>
          <w:sz w:val="22"/>
          <w:szCs w:val="22"/>
          <w:lang w:eastAsia="de-CH"/>
        </w:rPr>
        <w:tab/>
      </w:r>
      <w:r>
        <w:t>Künftige Beiträge</w:t>
      </w:r>
      <w:r>
        <w:tab/>
      </w:r>
      <w:r w:rsidR="00896579">
        <w:fldChar w:fldCharType="begin"/>
      </w:r>
      <w:r>
        <w:instrText xml:space="preserve"> PAGEREF _Toc358786192 \h </w:instrText>
      </w:r>
      <w:r w:rsidR="00896579">
        <w:fldChar w:fldCharType="separate"/>
      </w:r>
      <w:r w:rsidR="006674A1">
        <w:t>12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5.3</w:t>
      </w:r>
      <w:r>
        <w:rPr>
          <w:rFonts w:asciiTheme="minorHAnsi" w:eastAsiaTheme="minorEastAsia" w:hAnsiTheme="minorHAnsi" w:cstheme="minorBidi"/>
          <w:sz w:val="22"/>
          <w:szCs w:val="22"/>
          <w:lang w:eastAsia="de-CH"/>
        </w:rPr>
        <w:tab/>
      </w:r>
      <w:r>
        <w:rPr>
          <w:lang w:eastAsia="de-CH"/>
        </w:rPr>
        <w:t>Erhöhung Rücktrittsalter</w:t>
      </w:r>
      <w:r>
        <w:tab/>
      </w:r>
      <w:r w:rsidR="00896579">
        <w:fldChar w:fldCharType="begin"/>
      </w:r>
      <w:r>
        <w:instrText xml:space="preserve"> PAGEREF _Toc358786193 \h </w:instrText>
      </w:r>
      <w:r w:rsidR="00896579">
        <w:fldChar w:fldCharType="separate"/>
      </w:r>
      <w:r w:rsidR="006674A1">
        <w:t>12</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6.</w:t>
      </w:r>
      <w:r>
        <w:rPr>
          <w:rFonts w:asciiTheme="minorHAnsi" w:eastAsiaTheme="minorEastAsia" w:hAnsiTheme="minorHAnsi" w:cstheme="minorBidi"/>
          <w:b w:val="0"/>
          <w:szCs w:val="22"/>
          <w:lang w:eastAsia="de-CH"/>
        </w:rPr>
        <w:tab/>
      </w:r>
      <w:r>
        <w:t>Technischer Zinssatz</w:t>
      </w:r>
      <w:r>
        <w:tab/>
      </w:r>
      <w:r w:rsidR="00896579">
        <w:fldChar w:fldCharType="begin"/>
      </w:r>
      <w:r>
        <w:instrText xml:space="preserve"> PAGEREF _Toc358786194 \h </w:instrText>
      </w:r>
      <w:r w:rsidR="00896579">
        <w:fldChar w:fldCharType="separate"/>
      </w:r>
      <w:r w:rsidR="006674A1">
        <w:t>13</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6.1</w:t>
      </w:r>
      <w:r>
        <w:rPr>
          <w:rFonts w:asciiTheme="minorHAnsi" w:eastAsiaTheme="minorEastAsia" w:hAnsiTheme="minorHAnsi" w:cstheme="minorBidi"/>
          <w:sz w:val="22"/>
          <w:szCs w:val="22"/>
          <w:lang w:eastAsia="de-CH"/>
        </w:rPr>
        <w:tab/>
      </w:r>
      <w:r>
        <w:rPr>
          <w:lang w:eastAsia="de-CH"/>
        </w:rPr>
        <w:t>Entwicklung Renditen der letzten Jahre</w:t>
      </w:r>
      <w:r>
        <w:tab/>
      </w:r>
      <w:r w:rsidR="00896579">
        <w:fldChar w:fldCharType="begin"/>
      </w:r>
      <w:r>
        <w:instrText xml:space="preserve"> PAGEREF _Toc358786195 \h </w:instrText>
      </w:r>
      <w:r w:rsidR="00896579">
        <w:fldChar w:fldCharType="separate"/>
      </w:r>
      <w:r w:rsidR="006674A1">
        <w:t>13</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6.2</w:t>
      </w:r>
      <w:r>
        <w:rPr>
          <w:rFonts w:asciiTheme="minorHAnsi" w:eastAsiaTheme="minorEastAsia" w:hAnsiTheme="minorHAnsi" w:cstheme="minorBidi"/>
          <w:sz w:val="22"/>
          <w:szCs w:val="22"/>
          <w:lang w:eastAsia="de-CH"/>
        </w:rPr>
        <w:tab/>
      </w:r>
      <w:r>
        <w:rPr>
          <w:lang w:eastAsia="de-CH"/>
        </w:rPr>
        <w:t>Höhe des technischen Zinssatzes</w:t>
      </w:r>
      <w:r>
        <w:tab/>
      </w:r>
      <w:r w:rsidR="00896579">
        <w:fldChar w:fldCharType="begin"/>
      </w:r>
      <w:r>
        <w:instrText xml:space="preserve"> PAGEREF _Toc358786196 \h </w:instrText>
      </w:r>
      <w:r w:rsidR="00896579">
        <w:fldChar w:fldCharType="separate"/>
      </w:r>
      <w:r w:rsidR="006674A1">
        <w:t>13</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6.3</w:t>
      </w:r>
      <w:r>
        <w:rPr>
          <w:rFonts w:asciiTheme="minorHAnsi" w:eastAsiaTheme="minorEastAsia" w:hAnsiTheme="minorHAnsi" w:cstheme="minorBidi"/>
          <w:sz w:val="22"/>
          <w:szCs w:val="22"/>
          <w:lang w:eastAsia="de-CH"/>
        </w:rPr>
        <w:tab/>
      </w:r>
      <w:r>
        <w:rPr>
          <w:lang w:eastAsia="de-CH"/>
        </w:rPr>
        <w:t>Auswirkungen einer Senkung des technischen Zinssatzes</w:t>
      </w:r>
      <w:r>
        <w:tab/>
      </w:r>
      <w:r w:rsidR="00896579">
        <w:fldChar w:fldCharType="begin"/>
      </w:r>
      <w:r>
        <w:instrText xml:space="preserve"> PAGEREF _Toc358786197 \h </w:instrText>
      </w:r>
      <w:r w:rsidR="00896579">
        <w:fldChar w:fldCharType="separate"/>
      </w:r>
      <w:r w:rsidR="006674A1">
        <w:t>16</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7.</w:t>
      </w:r>
      <w:r>
        <w:rPr>
          <w:rFonts w:asciiTheme="minorHAnsi" w:eastAsiaTheme="minorEastAsia" w:hAnsiTheme="minorHAnsi" w:cstheme="minorBidi"/>
          <w:b w:val="0"/>
          <w:szCs w:val="22"/>
          <w:lang w:eastAsia="de-CH"/>
        </w:rPr>
        <w:tab/>
      </w:r>
      <w:r>
        <w:t>Wechsel vom Leistungs- zum Beitragsprimat</w:t>
      </w:r>
      <w:r>
        <w:tab/>
      </w:r>
      <w:r w:rsidR="00896579">
        <w:fldChar w:fldCharType="begin"/>
      </w:r>
      <w:r>
        <w:instrText xml:space="preserve"> PAGEREF _Toc358786198 \h </w:instrText>
      </w:r>
      <w:r w:rsidR="00896579">
        <w:fldChar w:fldCharType="separate"/>
      </w:r>
      <w:r w:rsidR="006674A1">
        <w:t>17</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7.1</w:t>
      </w:r>
      <w:r>
        <w:rPr>
          <w:rFonts w:asciiTheme="minorHAnsi" w:eastAsiaTheme="minorEastAsia" w:hAnsiTheme="minorHAnsi" w:cstheme="minorBidi"/>
          <w:sz w:val="22"/>
          <w:szCs w:val="22"/>
          <w:lang w:eastAsia="de-CH"/>
        </w:rPr>
        <w:tab/>
      </w:r>
      <w:r>
        <w:rPr>
          <w:lang w:eastAsia="de-CH"/>
        </w:rPr>
        <w:t>Beschreibung der Vorsorgeprimate</w:t>
      </w:r>
      <w:r>
        <w:tab/>
      </w:r>
      <w:r w:rsidR="00896579">
        <w:fldChar w:fldCharType="begin"/>
      </w:r>
      <w:r>
        <w:instrText xml:space="preserve"> PAGEREF _Toc358786199 \h </w:instrText>
      </w:r>
      <w:r w:rsidR="00896579">
        <w:fldChar w:fldCharType="separate"/>
      </w:r>
      <w:r w:rsidR="006674A1">
        <w:t>17</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7.1.1</w:t>
      </w:r>
      <w:r>
        <w:rPr>
          <w:rFonts w:asciiTheme="minorHAnsi" w:eastAsiaTheme="minorEastAsia" w:hAnsiTheme="minorHAnsi" w:cstheme="minorBidi"/>
          <w:sz w:val="22"/>
          <w:lang w:eastAsia="de-CH"/>
        </w:rPr>
        <w:tab/>
      </w:r>
      <w:r>
        <w:rPr>
          <w:lang w:eastAsia="de-CH"/>
        </w:rPr>
        <w:t>Leistungsprimat</w:t>
      </w:r>
      <w:r>
        <w:tab/>
      </w:r>
      <w:r w:rsidR="00896579">
        <w:fldChar w:fldCharType="begin"/>
      </w:r>
      <w:r>
        <w:instrText xml:space="preserve"> PAGEREF _Toc358786200 \h </w:instrText>
      </w:r>
      <w:r w:rsidR="00896579">
        <w:fldChar w:fldCharType="separate"/>
      </w:r>
      <w:r w:rsidR="006674A1">
        <w:t>17</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7.1.2</w:t>
      </w:r>
      <w:r>
        <w:rPr>
          <w:rFonts w:asciiTheme="minorHAnsi" w:eastAsiaTheme="minorEastAsia" w:hAnsiTheme="minorHAnsi" w:cstheme="minorBidi"/>
          <w:sz w:val="22"/>
          <w:lang w:eastAsia="de-CH"/>
        </w:rPr>
        <w:tab/>
      </w:r>
      <w:r>
        <w:rPr>
          <w:lang w:eastAsia="de-CH"/>
        </w:rPr>
        <w:t>Beitragsprimat</w:t>
      </w:r>
      <w:r>
        <w:tab/>
      </w:r>
      <w:r w:rsidR="00896579">
        <w:fldChar w:fldCharType="begin"/>
      </w:r>
      <w:r>
        <w:instrText xml:space="preserve"> PAGEREF _Toc358786201 \h </w:instrText>
      </w:r>
      <w:r w:rsidR="00896579">
        <w:fldChar w:fldCharType="separate"/>
      </w:r>
      <w:r w:rsidR="006674A1">
        <w:t>17</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7.2</w:t>
      </w:r>
      <w:r>
        <w:rPr>
          <w:rFonts w:asciiTheme="minorHAnsi" w:eastAsiaTheme="minorEastAsia" w:hAnsiTheme="minorHAnsi" w:cstheme="minorBidi"/>
          <w:sz w:val="22"/>
          <w:szCs w:val="22"/>
          <w:lang w:eastAsia="de-CH"/>
        </w:rPr>
        <w:tab/>
      </w:r>
      <w:r>
        <w:rPr>
          <w:lang w:eastAsia="de-CH"/>
        </w:rPr>
        <w:t>Gegenüberstellung von Leistungs- und Beitragsprimat</w:t>
      </w:r>
      <w:r>
        <w:tab/>
      </w:r>
      <w:r w:rsidR="00896579">
        <w:fldChar w:fldCharType="begin"/>
      </w:r>
      <w:r>
        <w:instrText xml:space="preserve"> PAGEREF _Toc358786202 \h </w:instrText>
      </w:r>
      <w:r w:rsidR="00896579">
        <w:fldChar w:fldCharType="separate"/>
      </w:r>
      <w:r w:rsidR="006674A1">
        <w:t>18</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7.2.1</w:t>
      </w:r>
      <w:r>
        <w:rPr>
          <w:rFonts w:asciiTheme="minorHAnsi" w:eastAsiaTheme="minorEastAsia" w:hAnsiTheme="minorHAnsi" w:cstheme="minorBidi"/>
          <w:sz w:val="22"/>
          <w:lang w:eastAsia="de-CH"/>
        </w:rPr>
        <w:tab/>
      </w:r>
      <w:r>
        <w:rPr>
          <w:lang w:eastAsia="de-CH"/>
        </w:rPr>
        <w:t>Allgemeines</w:t>
      </w:r>
      <w:r>
        <w:tab/>
      </w:r>
      <w:r w:rsidR="00896579">
        <w:fldChar w:fldCharType="begin"/>
      </w:r>
      <w:r>
        <w:instrText xml:space="preserve"> PAGEREF _Toc358786203 \h </w:instrText>
      </w:r>
      <w:r w:rsidR="00896579">
        <w:fldChar w:fldCharType="separate"/>
      </w:r>
      <w:r w:rsidR="006674A1">
        <w:t>18</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7.2.2</w:t>
      </w:r>
      <w:r>
        <w:rPr>
          <w:rFonts w:asciiTheme="minorHAnsi" w:eastAsiaTheme="minorEastAsia" w:hAnsiTheme="minorHAnsi" w:cstheme="minorBidi"/>
          <w:sz w:val="22"/>
          <w:lang w:eastAsia="de-CH"/>
        </w:rPr>
        <w:tab/>
      </w:r>
      <w:r>
        <w:rPr>
          <w:lang w:eastAsia="de-CH"/>
        </w:rPr>
        <w:t>Personalpolitische Ziele</w:t>
      </w:r>
      <w:r>
        <w:tab/>
      </w:r>
      <w:r w:rsidR="00896579">
        <w:fldChar w:fldCharType="begin"/>
      </w:r>
      <w:r>
        <w:instrText xml:space="preserve"> PAGEREF _Toc358786204 \h </w:instrText>
      </w:r>
      <w:r w:rsidR="00896579">
        <w:fldChar w:fldCharType="separate"/>
      </w:r>
      <w:r w:rsidR="006674A1">
        <w:t>19</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7.2.3</w:t>
      </w:r>
      <w:r>
        <w:rPr>
          <w:rFonts w:asciiTheme="minorHAnsi" w:eastAsiaTheme="minorEastAsia" w:hAnsiTheme="minorHAnsi" w:cstheme="minorBidi"/>
          <w:sz w:val="22"/>
          <w:lang w:eastAsia="de-CH"/>
        </w:rPr>
        <w:tab/>
      </w:r>
      <w:r>
        <w:rPr>
          <w:lang w:eastAsia="de-CH"/>
        </w:rPr>
        <w:t>Kollektive Finanzierung</w:t>
      </w:r>
      <w:r>
        <w:tab/>
      </w:r>
      <w:r w:rsidR="00896579">
        <w:fldChar w:fldCharType="begin"/>
      </w:r>
      <w:r>
        <w:instrText xml:space="preserve"> PAGEREF _Toc358786205 \h </w:instrText>
      </w:r>
      <w:r w:rsidR="00896579">
        <w:fldChar w:fldCharType="separate"/>
      </w:r>
      <w:r w:rsidR="006674A1">
        <w:t>19</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7.2.4</w:t>
      </w:r>
      <w:r>
        <w:rPr>
          <w:rFonts w:asciiTheme="minorHAnsi" w:eastAsiaTheme="minorEastAsia" w:hAnsiTheme="minorHAnsi" w:cstheme="minorBidi"/>
          <w:sz w:val="22"/>
          <w:lang w:eastAsia="de-CH"/>
        </w:rPr>
        <w:tab/>
      </w:r>
      <w:r>
        <w:rPr>
          <w:lang w:eastAsia="de-CH"/>
        </w:rPr>
        <w:t>Transparenz und Verständlichkeit</w:t>
      </w:r>
      <w:r>
        <w:tab/>
      </w:r>
      <w:r w:rsidR="00896579">
        <w:fldChar w:fldCharType="begin"/>
      </w:r>
      <w:r>
        <w:instrText xml:space="preserve"> PAGEREF _Toc358786206 \h </w:instrText>
      </w:r>
      <w:r w:rsidR="00896579">
        <w:fldChar w:fldCharType="separate"/>
      </w:r>
      <w:r w:rsidR="006674A1">
        <w:t>20</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7.2.5</w:t>
      </w:r>
      <w:r>
        <w:rPr>
          <w:rFonts w:asciiTheme="minorHAnsi" w:eastAsiaTheme="minorEastAsia" w:hAnsiTheme="minorHAnsi" w:cstheme="minorBidi"/>
          <w:sz w:val="22"/>
          <w:lang w:eastAsia="de-CH"/>
        </w:rPr>
        <w:tab/>
      </w:r>
      <w:r>
        <w:rPr>
          <w:lang w:eastAsia="de-CH"/>
        </w:rPr>
        <w:t>Effizienz in der Administration</w:t>
      </w:r>
      <w:r>
        <w:tab/>
      </w:r>
      <w:r w:rsidR="00896579">
        <w:fldChar w:fldCharType="begin"/>
      </w:r>
      <w:r>
        <w:instrText xml:space="preserve"> PAGEREF _Toc358786207 \h </w:instrText>
      </w:r>
      <w:r w:rsidR="00896579">
        <w:fldChar w:fldCharType="separate"/>
      </w:r>
      <w:r w:rsidR="006674A1">
        <w:t>20</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7.2.6</w:t>
      </w:r>
      <w:r>
        <w:rPr>
          <w:rFonts w:asciiTheme="minorHAnsi" w:eastAsiaTheme="minorEastAsia" w:hAnsiTheme="minorHAnsi" w:cstheme="minorBidi"/>
          <w:sz w:val="22"/>
          <w:lang w:eastAsia="de-CH"/>
        </w:rPr>
        <w:tab/>
      </w:r>
      <w:r>
        <w:rPr>
          <w:lang w:eastAsia="de-CH"/>
        </w:rPr>
        <w:t>Chancen und Risiken der Vermögensanlage</w:t>
      </w:r>
      <w:r>
        <w:tab/>
      </w:r>
      <w:r w:rsidR="00896579">
        <w:fldChar w:fldCharType="begin"/>
      </w:r>
      <w:r>
        <w:instrText xml:space="preserve"> PAGEREF _Toc358786208 \h </w:instrText>
      </w:r>
      <w:r w:rsidR="00896579">
        <w:fldChar w:fldCharType="separate"/>
      </w:r>
      <w:r w:rsidR="006674A1">
        <w:t>20</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7.3</w:t>
      </w:r>
      <w:r>
        <w:rPr>
          <w:rFonts w:asciiTheme="minorHAnsi" w:eastAsiaTheme="minorEastAsia" w:hAnsiTheme="minorHAnsi" w:cstheme="minorBidi"/>
          <w:sz w:val="22"/>
          <w:szCs w:val="22"/>
          <w:lang w:eastAsia="de-CH"/>
        </w:rPr>
        <w:tab/>
      </w:r>
      <w:r>
        <w:rPr>
          <w:lang w:eastAsia="de-CH"/>
        </w:rPr>
        <w:t>Schlussfolgerungen</w:t>
      </w:r>
      <w:r>
        <w:tab/>
      </w:r>
      <w:r w:rsidR="00896579">
        <w:fldChar w:fldCharType="begin"/>
      </w:r>
      <w:r>
        <w:instrText xml:space="preserve"> PAGEREF _Toc358786209 \h </w:instrText>
      </w:r>
      <w:r w:rsidR="00896579">
        <w:fldChar w:fldCharType="separate"/>
      </w:r>
      <w:r w:rsidR="006674A1">
        <w:t>21</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8.</w:t>
      </w:r>
      <w:r>
        <w:rPr>
          <w:rFonts w:asciiTheme="minorHAnsi" w:eastAsiaTheme="minorEastAsia" w:hAnsiTheme="minorHAnsi" w:cstheme="minorBidi"/>
          <w:b w:val="0"/>
          <w:szCs w:val="22"/>
          <w:lang w:eastAsia="de-CH"/>
        </w:rPr>
        <w:tab/>
      </w:r>
      <w:r>
        <w:t>Neuer Leistungsplan im Beitragsprimat</w:t>
      </w:r>
      <w:r>
        <w:tab/>
      </w:r>
      <w:r w:rsidR="00896579">
        <w:fldChar w:fldCharType="begin"/>
      </w:r>
      <w:r>
        <w:instrText xml:space="preserve"> PAGEREF _Toc358786210 \h </w:instrText>
      </w:r>
      <w:r w:rsidR="00896579">
        <w:fldChar w:fldCharType="separate"/>
      </w:r>
      <w:r w:rsidR="006674A1">
        <w:t>22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8.1</w:t>
      </w:r>
      <w:r>
        <w:rPr>
          <w:rFonts w:asciiTheme="minorHAnsi" w:eastAsiaTheme="minorEastAsia" w:hAnsiTheme="minorHAnsi" w:cstheme="minorBidi"/>
          <w:sz w:val="22"/>
          <w:szCs w:val="22"/>
          <w:lang w:eastAsia="de-CH"/>
        </w:rPr>
        <w:tab/>
      </w:r>
      <w:r>
        <w:rPr>
          <w:lang w:eastAsia="de-CH"/>
        </w:rPr>
        <w:t>Umwandlungssatz und Rücktrittsalter</w:t>
      </w:r>
      <w:r>
        <w:tab/>
      </w:r>
      <w:r w:rsidR="00896579">
        <w:fldChar w:fldCharType="begin"/>
      </w:r>
      <w:r>
        <w:instrText xml:space="preserve"> PAGEREF _Toc358786211 \h </w:instrText>
      </w:r>
      <w:r w:rsidR="00896579">
        <w:fldChar w:fldCharType="separate"/>
      </w:r>
      <w:r w:rsidR="006674A1">
        <w:t>22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8.2</w:t>
      </w:r>
      <w:r>
        <w:rPr>
          <w:rFonts w:asciiTheme="minorHAnsi" w:eastAsiaTheme="minorEastAsia" w:hAnsiTheme="minorHAnsi" w:cstheme="minorBidi"/>
          <w:sz w:val="22"/>
          <w:szCs w:val="22"/>
          <w:lang w:eastAsia="de-CH"/>
        </w:rPr>
        <w:tab/>
      </w:r>
      <w:r>
        <w:rPr>
          <w:lang w:eastAsia="de-CH"/>
        </w:rPr>
        <w:t>Vorsorgeplan</w:t>
      </w:r>
      <w:r>
        <w:tab/>
      </w:r>
      <w:r w:rsidR="00896579">
        <w:fldChar w:fldCharType="begin"/>
      </w:r>
      <w:r>
        <w:instrText xml:space="preserve"> PAGEREF _Toc358786212 \h </w:instrText>
      </w:r>
      <w:r w:rsidR="00896579">
        <w:fldChar w:fldCharType="separate"/>
      </w:r>
      <w:r w:rsidR="006674A1">
        <w:t>22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8.3</w:t>
      </w:r>
      <w:r>
        <w:rPr>
          <w:rFonts w:asciiTheme="minorHAnsi" w:eastAsiaTheme="minorEastAsia" w:hAnsiTheme="minorHAnsi" w:cstheme="minorBidi"/>
          <w:sz w:val="22"/>
          <w:szCs w:val="22"/>
          <w:lang w:eastAsia="de-CH"/>
        </w:rPr>
        <w:tab/>
      </w:r>
      <w:r>
        <w:rPr>
          <w:lang w:eastAsia="de-CH"/>
        </w:rPr>
        <w:t>Besitzstand aus Leistungsreduktion</w:t>
      </w:r>
      <w:r>
        <w:tab/>
      </w:r>
      <w:r w:rsidR="00896579">
        <w:fldChar w:fldCharType="begin"/>
      </w:r>
      <w:r>
        <w:instrText xml:space="preserve"> PAGEREF _Toc358786213 \h </w:instrText>
      </w:r>
      <w:r w:rsidR="00896579">
        <w:fldChar w:fldCharType="separate"/>
      </w:r>
      <w:r w:rsidR="006674A1">
        <w:t>23</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9.</w:t>
      </w:r>
      <w:r>
        <w:rPr>
          <w:rFonts w:asciiTheme="minorHAnsi" w:eastAsiaTheme="minorEastAsia" w:hAnsiTheme="minorHAnsi" w:cstheme="minorBidi"/>
          <w:b w:val="0"/>
          <w:szCs w:val="22"/>
          <w:lang w:eastAsia="de-CH"/>
        </w:rPr>
        <w:tab/>
      </w:r>
      <w:r>
        <w:t>Übersicht über die vorgeschlagene Lösung; Kostenfolgen</w:t>
      </w:r>
      <w:r>
        <w:tab/>
      </w:r>
      <w:r w:rsidR="00896579">
        <w:fldChar w:fldCharType="begin"/>
      </w:r>
      <w:r>
        <w:instrText xml:space="preserve"> PAGEREF _Toc358786214 \h </w:instrText>
      </w:r>
      <w:r w:rsidR="00896579">
        <w:fldChar w:fldCharType="separate"/>
      </w:r>
      <w:r w:rsidR="006674A1">
        <w:t>25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9.1</w:t>
      </w:r>
      <w:r>
        <w:rPr>
          <w:rFonts w:asciiTheme="minorHAnsi" w:eastAsiaTheme="minorEastAsia" w:hAnsiTheme="minorHAnsi" w:cstheme="minorBidi"/>
          <w:sz w:val="22"/>
          <w:szCs w:val="22"/>
          <w:lang w:eastAsia="de-CH"/>
        </w:rPr>
        <w:tab/>
      </w:r>
      <w:r>
        <w:rPr>
          <w:lang w:eastAsia="de-CH"/>
        </w:rPr>
        <w:t>Einleitung</w:t>
      </w:r>
      <w:r>
        <w:tab/>
      </w:r>
      <w:r w:rsidR="00896579">
        <w:fldChar w:fldCharType="begin"/>
      </w:r>
      <w:r>
        <w:instrText xml:space="preserve"> PAGEREF _Toc358786215 \h </w:instrText>
      </w:r>
      <w:r w:rsidR="00896579">
        <w:fldChar w:fldCharType="separate"/>
      </w:r>
      <w:r w:rsidR="006674A1">
        <w:t>25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9.2</w:t>
      </w:r>
      <w:r>
        <w:rPr>
          <w:rFonts w:asciiTheme="minorHAnsi" w:eastAsiaTheme="minorEastAsia" w:hAnsiTheme="minorHAnsi" w:cstheme="minorBidi"/>
          <w:sz w:val="22"/>
          <w:szCs w:val="22"/>
          <w:lang w:eastAsia="de-CH"/>
        </w:rPr>
        <w:tab/>
      </w:r>
      <w:r>
        <w:rPr>
          <w:lang w:eastAsia="de-CH"/>
        </w:rPr>
        <w:t>Kosten</w:t>
      </w:r>
      <w:r>
        <w:tab/>
      </w:r>
      <w:r w:rsidR="00896579">
        <w:fldChar w:fldCharType="begin"/>
      </w:r>
      <w:r>
        <w:instrText xml:space="preserve"> PAGEREF _Toc358786216 \h </w:instrText>
      </w:r>
      <w:r w:rsidR="00896579">
        <w:fldChar w:fldCharType="separate"/>
      </w:r>
      <w:r w:rsidR="006674A1">
        <w:t>25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Pr>
          <w:lang w:eastAsia="de-CH"/>
        </w:rPr>
        <w:t>9.3</w:t>
      </w:r>
      <w:r>
        <w:rPr>
          <w:rFonts w:asciiTheme="minorHAnsi" w:eastAsiaTheme="minorEastAsia" w:hAnsiTheme="minorHAnsi" w:cstheme="minorBidi"/>
          <w:sz w:val="22"/>
          <w:szCs w:val="22"/>
          <w:lang w:eastAsia="de-CH"/>
        </w:rPr>
        <w:tab/>
      </w:r>
      <w:r>
        <w:rPr>
          <w:lang w:eastAsia="de-CH"/>
        </w:rPr>
        <w:t>Art und Weise der Finanzierung der Kosten</w:t>
      </w:r>
      <w:r>
        <w:tab/>
      </w:r>
      <w:r w:rsidR="00896579">
        <w:fldChar w:fldCharType="begin"/>
      </w:r>
      <w:r>
        <w:instrText xml:space="preserve"> PAGEREF _Toc358786217 \h </w:instrText>
      </w:r>
      <w:r w:rsidR="00896579">
        <w:fldChar w:fldCharType="separate"/>
      </w:r>
      <w:r w:rsidR="006674A1">
        <w:t>26</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9.3.1</w:t>
      </w:r>
      <w:r>
        <w:rPr>
          <w:rFonts w:asciiTheme="minorHAnsi" w:eastAsiaTheme="minorEastAsia" w:hAnsiTheme="minorHAnsi" w:cstheme="minorBidi"/>
          <w:sz w:val="22"/>
          <w:lang w:eastAsia="de-CH"/>
        </w:rPr>
        <w:tab/>
      </w:r>
      <w:r>
        <w:rPr>
          <w:lang w:eastAsia="de-CH"/>
        </w:rPr>
        <w:t>Vorschlag des Modells einer Forderung</w:t>
      </w:r>
      <w:r>
        <w:tab/>
      </w:r>
      <w:r w:rsidR="00896579">
        <w:fldChar w:fldCharType="begin"/>
      </w:r>
      <w:r>
        <w:instrText xml:space="preserve"> PAGEREF _Toc358786218 \h </w:instrText>
      </w:r>
      <w:r w:rsidR="00896579">
        <w:fldChar w:fldCharType="separate"/>
      </w:r>
      <w:r w:rsidR="006674A1">
        <w:t>26</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9.3.2</w:t>
      </w:r>
      <w:r>
        <w:rPr>
          <w:rFonts w:asciiTheme="minorHAnsi" w:eastAsiaTheme="minorEastAsia" w:hAnsiTheme="minorHAnsi" w:cstheme="minorBidi"/>
          <w:sz w:val="22"/>
          <w:lang w:eastAsia="de-CH"/>
        </w:rPr>
        <w:tab/>
      </w:r>
      <w:r>
        <w:rPr>
          <w:lang w:eastAsia="de-CH"/>
        </w:rPr>
        <w:t>Auswirkungen auf die Bilanzierung der angeschlossenen Arbeitgebenden</w:t>
      </w:r>
      <w:r>
        <w:tab/>
      </w:r>
      <w:r w:rsidR="00896579">
        <w:fldChar w:fldCharType="begin"/>
      </w:r>
      <w:r>
        <w:instrText xml:space="preserve"> PAGEREF _Toc358786219 \h </w:instrText>
      </w:r>
      <w:r w:rsidR="00896579">
        <w:fldChar w:fldCharType="separate"/>
      </w:r>
      <w:r w:rsidR="006674A1">
        <w:t>26</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9.3.3</w:t>
      </w:r>
      <w:r>
        <w:rPr>
          <w:rFonts w:asciiTheme="minorHAnsi" w:eastAsiaTheme="minorEastAsia" w:hAnsiTheme="minorHAnsi" w:cstheme="minorBidi"/>
          <w:sz w:val="22"/>
          <w:lang w:eastAsia="de-CH"/>
        </w:rPr>
        <w:tab/>
      </w:r>
      <w:r>
        <w:rPr>
          <w:lang w:eastAsia="de-CH"/>
        </w:rPr>
        <w:t>Übersicht über die Finanzierung: Höhe der Annuität</w:t>
      </w:r>
      <w:r>
        <w:tab/>
      </w:r>
      <w:r w:rsidR="00896579">
        <w:fldChar w:fldCharType="begin"/>
      </w:r>
      <w:r>
        <w:instrText xml:space="preserve"> PAGEREF _Toc358786220 \h </w:instrText>
      </w:r>
      <w:r w:rsidR="00896579">
        <w:fldChar w:fldCharType="separate"/>
      </w:r>
      <w:r w:rsidR="006674A1">
        <w:t>27</w:t>
      </w:r>
      <w:r w:rsidR="00896579">
        <w:fldChar w:fldCharType="end"/>
      </w:r>
    </w:p>
    <w:p w:rsidR="00913B2F" w:rsidRDefault="00913B2F">
      <w:pPr>
        <w:pStyle w:val="Verzeichnis3"/>
        <w:rPr>
          <w:rFonts w:asciiTheme="minorHAnsi" w:eastAsiaTheme="minorEastAsia" w:hAnsiTheme="minorHAnsi" w:cstheme="minorBidi"/>
          <w:sz w:val="22"/>
          <w:lang w:eastAsia="de-CH"/>
        </w:rPr>
      </w:pPr>
      <w:r>
        <w:rPr>
          <w:lang w:eastAsia="de-CH"/>
        </w:rPr>
        <w:t>9.3.4</w:t>
      </w:r>
      <w:r>
        <w:rPr>
          <w:rFonts w:asciiTheme="minorHAnsi" w:eastAsiaTheme="minorEastAsia" w:hAnsiTheme="minorHAnsi" w:cstheme="minorBidi"/>
          <w:sz w:val="22"/>
          <w:lang w:eastAsia="de-CH"/>
        </w:rPr>
        <w:tab/>
      </w:r>
      <w:r>
        <w:rPr>
          <w:lang w:eastAsia="de-CH"/>
        </w:rPr>
        <w:t xml:space="preserve">Lastensymmetrie </w:t>
      </w:r>
      <w:r>
        <w:t xml:space="preserve">Arbeitnehmende </w:t>
      </w:r>
      <w:r>
        <w:rPr>
          <w:lang w:eastAsia="de-CH"/>
        </w:rPr>
        <w:t>und Arbeitgeber</w:t>
      </w:r>
      <w:r>
        <w:tab/>
      </w:r>
      <w:r w:rsidR="00896579">
        <w:fldChar w:fldCharType="begin"/>
      </w:r>
      <w:r>
        <w:instrText xml:space="preserve"> PAGEREF _Toc358786221 \h </w:instrText>
      </w:r>
      <w:r w:rsidR="00896579">
        <w:fldChar w:fldCharType="separate"/>
      </w:r>
      <w:r w:rsidR="006674A1">
        <w:t>28</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10.</w:t>
      </w:r>
      <w:r>
        <w:rPr>
          <w:rFonts w:asciiTheme="minorHAnsi" w:eastAsiaTheme="minorEastAsia" w:hAnsiTheme="minorHAnsi" w:cstheme="minorBidi"/>
          <w:b w:val="0"/>
          <w:szCs w:val="22"/>
          <w:lang w:eastAsia="de-CH"/>
        </w:rPr>
        <w:tab/>
      </w:r>
      <w:r>
        <w:t>Vernehlassungsverfahren</w:t>
      </w:r>
      <w:r>
        <w:tab/>
      </w:r>
      <w:r w:rsidR="00896579">
        <w:fldChar w:fldCharType="begin"/>
      </w:r>
      <w:r>
        <w:instrText xml:space="preserve"> PAGEREF _Toc358786222 \h </w:instrText>
      </w:r>
      <w:r w:rsidR="00896579">
        <w:fldChar w:fldCharType="separate"/>
      </w:r>
      <w:r w:rsidR="006674A1">
        <w:t>29</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11.</w:t>
      </w:r>
      <w:r>
        <w:rPr>
          <w:rFonts w:asciiTheme="minorHAnsi" w:eastAsiaTheme="minorEastAsia" w:hAnsiTheme="minorHAnsi" w:cstheme="minorBidi"/>
          <w:b w:val="0"/>
          <w:szCs w:val="22"/>
          <w:lang w:eastAsia="de-CH"/>
        </w:rPr>
        <w:tab/>
      </w:r>
      <w:r>
        <w:t>Fazit</w:t>
      </w:r>
      <w:r>
        <w:tab/>
      </w:r>
      <w:r w:rsidR="00896579">
        <w:fldChar w:fldCharType="begin"/>
      </w:r>
      <w:r>
        <w:instrText xml:space="preserve"> PAGEREF _Toc358786223 \h </w:instrText>
      </w:r>
      <w:r w:rsidR="00896579">
        <w:fldChar w:fldCharType="separate"/>
      </w:r>
      <w:r w:rsidR="006674A1">
        <w:t>33</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12.</w:t>
      </w:r>
      <w:r>
        <w:rPr>
          <w:rFonts w:asciiTheme="minorHAnsi" w:eastAsiaTheme="minorEastAsia" w:hAnsiTheme="minorHAnsi" w:cstheme="minorBidi"/>
          <w:b w:val="0"/>
          <w:szCs w:val="22"/>
          <w:lang w:eastAsia="de-CH"/>
        </w:rPr>
        <w:tab/>
      </w:r>
      <w:r>
        <w:t>Entwurf der Statuten und Kommentar</w:t>
      </w:r>
      <w:r>
        <w:tab/>
      </w:r>
      <w:r w:rsidR="00896579">
        <w:fldChar w:fldCharType="begin"/>
      </w:r>
      <w:r>
        <w:instrText xml:space="preserve"> PAGEREF _Toc358786224 \h </w:instrText>
      </w:r>
      <w:r w:rsidR="00896579">
        <w:fldChar w:fldCharType="separate"/>
      </w:r>
      <w:r w:rsidR="006674A1">
        <w:t>34</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w:t>
      </w:r>
      <w:r>
        <w:rPr>
          <w:rFonts w:asciiTheme="minorHAnsi" w:eastAsiaTheme="minorEastAsia" w:hAnsiTheme="minorHAnsi" w:cstheme="minorBidi"/>
          <w:sz w:val="22"/>
          <w:szCs w:val="22"/>
          <w:lang w:eastAsia="de-CH"/>
        </w:rPr>
        <w:tab/>
      </w:r>
      <w:r>
        <w:t>Name, Rechtspersönlichkeit und Sitz</w:t>
      </w:r>
      <w:r>
        <w:tab/>
      </w:r>
      <w:r w:rsidR="00896579">
        <w:fldChar w:fldCharType="begin"/>
      </w:r>
      <w:r>
        <w:instrText xml:space="preserve"> PAGEREF _Toc358786225 \h </w:instrText>
      </w:r>
      <w:r w:rsidR="00896579">
        <w:fldChar w:fldCharType="separate"/>
      </w:r>
      <w:r w:rsidR="006674A1">
        <w:t>35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2.</w:t>
      </w:r>
      <w:r>
        <w:rPr>
          <w:rFonts w:asciiTheme="minorHAnsi" w:eastAsiaTheme="minorEastAsia" w:hAnsiTheme="minorHAnsi" w:cstheme="minorBidi"/>
          <w:sz w:val="22"/>
          <w:szCs w:val="22"/>
          <w:lang w:eastAsia="de-CH"/>
        </w:rPr>
        <w:tab/>
      </w:r>
      <w:r>
        <w:t>Zweck und Tätigkeitsbereich</w:t>
      </w:r>
      <w:r>
        <w:tab/>
      </w:r>
      <w:r w:rsidR="00896579">
        <w:fldChar w:fldCharType="begin"/>
      </w:r>
      <w:r>
        <w:instrText xml:space="preserve"> PAGEREF _Toc358786226 \h </w:instrText>
      </w:r>
      <w:r w:rsidR="00896579">
        <w:fldChar w:fldCharType="separate"/>
      </w:r>
      <w:r w:rsidR="006674A1">
        <w:t>35</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3.</w:t>
      </w:r>
      <w:r>
        <w:rPr>
          <w:rFonts w:asciiTheme="minorHAnsi" w:eastAsiaTheme="minorEastAsia" w:hAnsiTheme="minorHAnsi" w:cstheme="minorBidi"/>
          <w:sz w:val="22"/>
          <w:szCs w:val="22"/>
          <w:lang w:eastAsia="de-CH"/>
        </w:rPr>
        <w:tab/>
      </w:r>
      <w:r>
        <w:t>Zuständigkeit</w:t>
      </w:r>
      <w:r>
        <w:tab/>
      </w:r>
      <w:r w:rsidR="00896579">
        <w:fldChar w:fldCharType="begin"/>
      </w:r>
      <w:r>
        <w:instrText xml:space="preserve"> PAGEREF _Toc358786227 \h </w:instrText>
      </w:r>
      <w:r w:rsidR="00896579">
        <w:fldChar w:fldCharType="separate"/>
      </w:r>
      <w:r w:rsidR="006674A1">
        <w:t>36</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4.</w:t>
      </w:r>
      <w:r>
        <w:rPr>
          <w:rFonts w:asciiTheme="minorHAnsi" w:eastAsiaTheme="minorEastAsia" w:hAnsiTheme="minorHAnsi" w:cstheme="minorBidi"/>
          <w:sz w:val="22"/>
          <w:szCs w:val="22"/>
          <w:lang w:eastAsia="de-CH"/>
        </w:rPr>
        <w:tab/>
      </w:r>
      <w:r>
        <w:t>Auflösung einer Anschlussvereinbarung</w:t>
      </w:r>
      <w:r>
        <w:tab/>
      </w:r>
      <w:r w:rsidR="00896579">
        <w:fldChar w:fldCharType="begin"/>
      </w:r>
      <w:r>
        <w:instrText xml:space="preserve"> PAGEREF _Toc358786228 \h </w:instrText>
      </w:r>
      <w:r w:rsidR="00896579">
        <w:fldChar w:fldCharType="separate"/>
      </w:r>
      <w:r w:rsidR="006674A1">
        <w:t>36</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5.</w:t>
      </w:r>
      <w:r>
        <w:rPr>
          <w:rFonts w:asciiTheme="minorHAnsi" w:eastAsiaTheme="minorEastAsia" w:hAnsiTheme="minorHAnsi" w:cstheme="minorBidi"/>
          <w:sz w:val="22"/>
          <w:szCs w:val="22"/>
          <w:lang w:eastAsia="de-CH"/>
        </w:rPr>
        <w:tab/>
      </w:r>
      <w:r>
        <w:t>Grundsatz</w:t>
      </w:r>
      <w:r>
        <w:tab/>
      </w:r>
      <w:r w:rsidR="00896579">
        <w:fldChar w:fldCharType="begin"/>
      </w:r>
      <w:r>
        <w:instrText xml:space="preserve"> PAGEREF _Toc358786229 \h </w:instrText>
      </w:r>
      <w:r w:rsidR="00896579">
        <w:fldChar w:fldCharType="separate"/>
      </w:r>
      <w:r w:rsidR="006674A1">
        <w:t>37</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6.</w:t>
      </w:r>
      <w:r>
        <w:rPr>
          <w:rFonts w:asciiTheme="minorHAnsi" w:eastAsiaTheme="minorEastAsia" w:hAnsiTheme="minorHAnsi" w:cstheme="minorBidi"/>
          <w:sz w:val="22"/>
          <w:szCs w:val="22"/>
          <w:lang w:eastAsia="de-CH"/>
        </w:rPr>
        <w:tab/>
      </w:r>
      <w:r>
        <w:t>Finanzierung per 31.12.2013</w:t>
      </w:r>
      <w:r>
        <w:tab/>
      </w:r>
      <w:r w:rsidR="00896579">
        <w:fldChar w:fldCharType="begin"/>
      </w:r>
      <w:r>
        <w:instrText xml:space="preserve"> PAGEREF _Toc358786230 \h </w:instrText>
      </w:r>
      <w:r w:rsidR="00896579">
        <w:fldChar w:fldCharType="separate"/>
      </w:r>
      <w:r w:rsidR="006674A1">
        <w:t>37</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7.</w:t>
      </w:r>
      <w:r>
        <w:rPr>
          <w:rFonts w:asciiTheme="minorHAnsi" w:eastAsiaTheme="minorEastAsia" w:hAnsiTheme="minorHAnsi" w:cstheme="minorBidi"/>
          <w:sz w:val="22"/>
          <w:szCs w:val="22"/>
          <w:lang w:eastAsia="de-CH"/>
        </w:rPr>
        <w:tab/>
      </w:r>
      <w:r>
        <w:t>Beiträge</w:t>
      </w:r>
      <w:r>
        <w:tab/>
      </w:r>
      <w:r w:rsidR="00896579">
        <w:fldChar w:fldCharType="begin"/>
      </w:r>
      <w:r>
        <w:instrText xml:space="preserve"> PAGEREF _Toc358786231 \h </w:instrText>
      </w:r>
      <w:r w:rsidR="00896579">
        <w:fldChar w:fldCharType="separate"/>
      </w:r>
      <w:r w:rsidR="006674A1">
        <w:t>38</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8.</w:t>
      </w:r>
      <w:r>
        <w:rPr>
          <w:rFonts w:asciiTheme="minorHAnsi" w:eastAsiaTheme="minorEastAsia" w:hAnsiTheme="minorHAnsi" w:cstheme="minorBidi"/>
          <w:sz w:val="22"/>
          <w:szCs w:val="22"/>
          <w:lang w:eastAsia="de-CH"/>
        </w:rPr>
        <w:tab/>
      </w:r>
      <w:r>
        <w:t>Staatsgarantie</w:t>
      </w:r>
      <w:r>
        <w:tab/>
      </w:r>
      <w:r w:rsidR="00896579">
        <w:fldChar w:fldCharType="begin"/>
      </w:r>
      <w:r>
        <w:instrText xml:space="preserve"> PAGEREF _Toc358786232 \h </w:instrText>
      </w:r>
      <w:r w:rsidR="00896579">
        <w:fldChar w:fldCharType="separate"/>
      </w:r>
      <w:r w:rsidR="006674A1">
        <w:t>39</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9.</w:t>
      </w:r>
      <w:r>
        <w:rPr>
          <w:rFonts w:asciiTheme="minorHAnsi" w:eastAsiaTheme="minorEastAsia" w:hAnsiTheme="minorHAnsi" w:cstheme="minorBidi"/>
          <w:sz w:val="22"/>
          <w:szCs w:val="22"/>
          <w:lang w:eastAsia="de-CH"/>
        </w:rPr>
        <w:tab/>
      </w:r>
      <w:r>
        <w:t>Sanierung</w:t>
      </w:r>
      <w:r>
        <w:tab/>
      </w:r>
      <w:r w:rsidR="00896579">
        <w:fldChar w:fldCharType="begin"/>
      </w:r>
      <w:r>
        <w:instrText xml:space="preserve"> PAGEREF _Toc358786233 \h </w:instrText>
      </w:r>
      <w:r w:rsidR="00896579">
        <w:fldChar w:fldCharType="separate"/>
      </w:r>
      <w:r w:rsidR="006674A1">
        <w:t>39</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10.</w:t>
      </w:r>
      <w:r>
        <w:rPr>
          <w:rFonts w:asciiTheme="minorHAnsi" w:eastAsiaTheme="minorEastAsia" w:hAnsiTheme="minorHAnsi" w:cstheme="minorBidi"/>
          <w:sz w:val="22"/>
          <w:szCs w:val="22"/>
          <w:lang w:eastAsia="de-CH"/>
        </w:rPr>
        <w:tab/>
      </w:r>
      <w:r>
        <w:t>Organe</w:t>
      </w:r>
      <w:r>
        <w:tab/>
      </w:r>
      <w:r w:rsidR="00896579">
        <w:fldChar w:fldCharType="begin"/>
      </w:r>
      <w:r>
        <w:instrText xml:space="preserve"> PAGEREF _Toc358786234 \h </w:instrText>
      </w:r>
      <w:r w:rsidR="00896579">
        <w:fldChar w:fldCharType="separate"/>
      </w:r>
      <w:r w:rsidR="006674A1">
        <w:t>41</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11.</w:t>
      </w:r>
      <w:r>
        <w:rPr>
          <w:rFonts w:asciiTheme="minorHAnsi" w:eastAsiaTheme="minorEastAsia" w:hAnsiTheme="minorHAnsi" w:cstheme="minorBidi"/>
          <w:sz w:val="22"/>
          <w:szCs w:val="22"/>
          <w:lang w:eastAsia="de-CH"/>
        </w:rPr>
        <w:tab/>
      </w:r>
      <w:r>
        <w:t>Pensionskommission</w:t>
      </w:r>
      <w:r>
        <w:tab/>
      </w:r>
      <w:r w:rsidR="00896579">
        <w:fldChar w:fldCharType="begin"/>
      </w:r>
      <w:r>
        <w:instrText xml:space="preserve"> PAGEREF _Toc358786235 \h </w:instrText>
      </w:r>
      <w:r w:rsidR="00896579">
        <w:fldChar w:fldCharType="separate"/>
      </w:r>
      <w:r w:rsidR="006674A1">
        <w:t>41</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12.</w:t>
      </w:r>
      <w:r>
        <w:rPr>
          <w:rFonts w:asciiTheme="minorHAnsi" w:eastAsiaTheme="minorEastAsia" w:hAnsiTheme="minorHAnsi" w:cstheme="minorBidi"/>
          <w:sz w:val="22"/>
          <w:szCs w:val="22"/>
          <w:lang w:eastAsia="de-CH"/>
        </w:rPr>
        <w:tab/>
      </w:r>
      <w:r>
        <w:t>Aufgaben der Pensionskommission</w:t>
      </w:r>
      <w:r>
        <w:tab/>
      </w:r>
      <w:r w:rsidR="00896579">
        <w:fldChar w:fldCharType="begin"/>
      </w:r>
      <w:r>
        <w:instrText xml:space="preserve"> PAGEREF _Toc358786236 \h </w:instrText>
      </w:r>
      <w:r w:rsidR="00896579">
        <w:fldChar w:fldCharType="separate"/>
      </w:r>
      <w:r w:rsidR="006674A1">
        <w:t>42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13.</w:t>
      </w:r>
      <w:r>
        <w:rPr>
          <w:rFonts w:asciiTheme="minorHAnsi" w:eastAsiaTheme="minorEastAsia" w:hAnsiTheme="minorHAnsi" w:cstheme="minorBidi"/>
          <w:sz w:val="22"/>
          <w:szCs w:val="22"/>
          <w:lang w:eastAsia="de-CH"/>
        </w:rPr>
        <w:tab/>
      </w:r>
      <w:r>
        <w:t>Geschäftsstelle</w:t>
      </w:r>
      <w:r>
        <w:tab/>
      </w:r>
      <w:r w:rsidR="00896579">
        <w:fldChar w:fldCharType="begin"/>
      </w:r>
      <w:r>
        <w:instrText xml:space="preserve"> PAGEREF _Toc358786237 \h </w:instrText>
      </w:r>
      <w:r w:rsidR="00896579">
        <w:fldChar w:fldCharType="separate"/>
      </w:r>
      <w:r w:rsidR="006674A1">
        <w:t>42</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rsidRPr="002F2A6E">
        <w:rPr>
          <w:color w:val="000000"/>
        </w:rPr>
        <w:t>Art. 14.</w:t>
      </w:r>
      <w:r>
        <w:rPr>
          <w:rFonts w:asciiTheme="minorHAnsi" w:eastAsiaTheme="minorEastAsia" w:hAnsiTheme="minorHAnsi" w:cstheme="minorBidi"/>
          <w:sz w:val="22"/>
          <w:szCs w:val="22"/>
          <w:lang w:eastAsia="de-CH"/>
        </w:rPr>
        <w:tab/>
      </w:r>
      <w:r>
        <w:t>Übergangsbestimmung</w:t>
      </w:r>
      <w:r>
        <w:tab/>
      </w:r>
      <w:r w:rsidR="00896579">
        <w:fldChar w:fldCharType="begin"/>
      </w:r>
      <w:r>
        <w:instrText xml:space="preserve"> PAGEREF _Toc358786238 \h </w:instrText>
      </w:r>
      <w:r w:rsidR="00896579">
        <w:fldChar w:fldCharType="separate"/>
      </w:r>
      <w:r w:rsidR="006674A1">
        <w:t>43</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Art. AA</w:t>
      </w:r>
      <w:r>
        <w:rPr>
          <w:rFonts w:asciiTheme="minorHAnsi" w:eastAsiaTheme="minorEastAsia" w:hAnsiTheme="minorHAnsi" w:cstheme="minorBidi"/>
          <w:sz w:val="22"/>
          <w:szCs w:val="22"/>
          <w:lang w:eastAsia="de-CH"/>
        </w:rPr>
        <w:tab/>
      </w:r>
      <w:r>
        <w:t>Beendigung des Arbeitsverhältnisses infolge Alter und vorzeitiger Ruhestand (Personalreglement)</w:t>
      </w:r>
      <w:r>
        <w:tab/>
      </w:r>
      <w:r w:rsidR="00896579">
        <w:fldChar w:fldCharType="begin"/>
      </w:r>
      <w:r>
        <w:instrText xml:space="preserve"> PAGEREF _Toc358786239 \h </w:instrText>
      </w:r>
      <w:r w:rsidR="00896579">
        <w:fldChar w:fldCharType="separate"/>
      </w:r>
      <w:r w:rsidR="006674A1">
        <w:t>44</w:t>
      </w:r>
      <w:r w:rsidR="00896579">
        <w:fldChar w:fldCharType="end"/>
      </w:r>
    </w:p>
    <w:p w:rsidR="00913B2F" w:rsidRDefault="00913B2F">
      <w:pPr>
        <w:pStyle w:val="Verzeichnis2"/>
        <w:rPr>
          <w:rFonts w:asciiTheme="minorHAnsi" w:eastAsiaTheme="minorEastAsia" w:hAnsiTheme="minorHAnsi" w:cstheme="minorBidi"/>
          <w:sz w:val="22"/>
          <w:szCs w:val="22"/>
          <w:lang w:eastAsia="de-CH"/>
        </w:rPr>
      </w:pPr>
      <w:r>
        <w:t>Art.BB</w:t>
      </w:r>
      <w:r>
        <w:rPr>
          <w:rFonts w:asciiTheme="minorHAnsi" w:eastAsiaTheme="minorEastAsia" w:hAnsiTheme="minorHAnsi" w:cstheme="minorBidi"/>
          <w:sz w:val="22"/>
          <w:szCs w:val="22"/>
          <w:lang w:eastAsia="de-CH"/>
        </w:rPr>
        <w:tab/>
      </w:r>
      <w:r>
        <w:t>Versicherter Jahreslohn (Vorsorgereglement)</w:t>
      </w:r>
      <w:r>
        <w:tab/>
      </w:r>
      <w:r w:rsidR="00896579">
        <w:fldChar w:fldCharType="begin"/>
      </w:r>
      <w:r>
        <w:instrText xml:space="preserve"> PAGEREF _Toc358786240 \h </w:instrText>
      </w:r>
      <w:r w:rsidR="00896579">
        <w:fldChar w:fldCharType="separate"/>
      </w:r>
      <w:r w:rsidR="006674A1">
        <w:t>44</w:t>
      </w:r>
      <w:r w:rsidR="00896579">
        <w:fldChar w:fldCharType="end"/>
      </w:r>
    </w:p>
    <w:p w:rsidR="00913B2F" w:rsidRDefault="00913B2F">
      <w:pPr>
        <w:pStyle w:val="Verzeichnis1"/>
        <w:rPr>
          <w:rFonts w:asciiTheme="minorHAnsi" w:eastAsiaTheme="minorEastAsia" w:hAnsiTheme="minorHAnsi" w:cstheme="minorBidi"/>
          <w:b w:val="0"/>
          <w:szCs w:val="22"/>
          <w:lang w:eastAsia="de-CH"/>
        </w:rPr>
      </w:pPr>
      <w:r>
        <w:t>13.</w:t>
      </w:r>
      <w:r>
        <w:rPr>
          <w:rFonts w:asciiTheme="minorHAnsi" w:eastAsiaTheme="minorEastAsia" w:hAnsiTheme="minorHAnsi" w:cstheme="minorBidi"/>
          <w:b w:val="0"/>
          <w:szCs w:val="22"/>
          <w:lang w:eastAsia="de-CH"/>
        </w:rPr>
        <w:tab/>
      </w:r>
      <w:r>
        <w:t>Beschlussesanträge</w:t>
      </w:r>
      <w:r>
        <w:tab/>
      </w:r>
      <w:r w:rsidR="00896579">
        <w:fldChar w:fldCharType="begin"/>
      </w:r>
      <w:r>
        <w:instrText xml:space="preserve"> PAGEREF _Toc358786241 \h </w:instrText>
      </w:r>
      <w:r w:rsidR="00896579">
        <w:fldChar w:fldCharType="separate"/>
      </w:r>
      <w:r w:rsidR="006674A1">
        <w:t>45</w:t>
      </w:r>
      <w:r w:rsidR="00896579">
        <w:fldChar w:fldCharType="end"/>
      </w:r>
    </w:p>
    <w:p w:rsidR="00A56443" w:rsidRPr="001555C8" w:rsidRDefault="00896579" w:rsidP="00793DC0">
      <w:pPr>
        <w:tabs>
          <w:tab w:val="right" w:pos="9072"/>
          <w:tab w:val="right" w:leader="dot" w:pos="9214"/>
        </w:tabs>
        <w:rPr>
          <w:sz w:val="6"/>
          <w:szCs w:val="6"/>
        </w:rPr>
      </w:pPr>
      <w:r w:rsidRPr="001555C8">
        <w:rPr>
          <w:bCs/>
          <w:noProof/>
          <w:szCs w:val="28"/>
        </w:rPr>
        <w:fldChar w:fldCharType="end"/>
      </w:r>
    </w:p>
    <w:p w:rsidR="001D4278" w:rsidRPr="001555C8" w:rsidRDefault="00A56443" w:rsidP="00C3664B">
      <w:pPr>
        <w:pStyle w:val="berschrift1"/>
        <w:numPr>
          <w:ilvl w:val="0"/>
          <w:numId w:val="2"/>
        </w:numPr>
        <w:tabs>
          <w:tab w:val="clear" w:pos="567"/>
          <w:tab w:val="left" w:pos="992"/>
        </w:tabs>
      </w:pPr>
      <w:r w:rsidRPr="001555C8">
        <w:br w:type="page"/>
      </w:r>
      <w:bookmarkStart w:id="1" w:name="_Toc358786175"/>
      <w:bookmarkStart w:id="2" w:name="_Toc278116556"/>
      <w:r w:rsidR="00E406D8" w:rsidRPr="001555C8">
        <w:t>Kurzzusammenfassung</w:t>
      </w:r>
      <w:bookmarkEnd w:id="1"/>
    </w:p>
    <w:p w:rsidR="001D4278" w:rsidRPr="001555C8" w:rsidRDefault="009C51C8" w:rsidP="008A18C5">
      <w:pPr>
        <w:pStyle w:val="Textkrper"/>
      </w:pPr>
      <w:r w:rsidRPr="001555C8">
        <w:t>Der vorliegende</w:t>
      </w:r>
      <w:r w:rsidR="001D4278" w:rsidRPr="001555C8">
        <w:t xml:space="preserve"> </w:t>
      </w:r>
      <w:r w:rsidRPr="001555C8">
        <w:t>Bericht</w:t>
      </w:r>
      <w:r w:rsidR="001D4278" w:rsidRPr="001555C8">
        <w:t xml:space="preserve"> </w:t>
      </w:r>
      <w:r w:rsidRPr="001555C8">
        <w:t>sieht einen</w:t>
      </w:r>
      <w:r w:rsidR="001D4278" w:rsidRPr="001555C8">
        <w:t xml:space="preserve"> Entwurf für die </w:t>
      </w:r>
      <w:r w:rsidR="00B84A85" w:rsidRPr="001555C8">
        <w:t>R</w:t>
      </w:r>
      <w:r w:rsidR="001D4278" w:rsidRPr="001555C8">
        <w:t xml:space="preserve">evision </w:t>
      </w:r>
      <w:r w:rsidR="00EB07D6" w:rsidRPr="001555C8">
        <w:t>der Statuten</w:t>
      </w:r>
      <w:r w:rsidR="001D4278" w:rsidRPr="001555C8">
        <w:t xml:space="preserve"> </w:t>
      </w:r>
      <w:r w:rsidRPr="001555C8">
        <w:t>über</w:t>
      </w:r>
      <w:r w:rsidR="00CD5FCE" w:rsidRPr="001555C8">
        <w:t xml:space="preserve"> die Pensionskasse </w:t>
      </w:r>
      <w:r w:rsidRPr="001555C8">
        <w:t>der Stadt Olten</w:t>
      </w:r>
      <w:r w:rsidR="00CD5FCE" w:rsidRPr="001555C8">
        <w:t xml:space="preserve"> (</w:t>
      </w:r>
      <w:r w:rsidR="00151258" w:rsidRPr="001555C8">
        <w:t>PK Olten</w:t>
      </w:r>
      <w:r w:rsidR="00CD5FCE" w:rsidRPr="001555C8">
        <w:t xml:space="preserve">) vor. </w:t>
      </w:r>
      <w:r w:rsidR="001D4278" w:rsidRPr="001555C8">
        <w:t xml:space="preserve">Diese </w:t>
      </w:r>
      <w:r w:rsidR="00B84A85" w:rsidRPr="001555C8">
        <w:t>R</w:t>
      </w:r>
      <w:r w:rsidR="001D4278" w:rsidRPr="001555C8">
        <w:t xml:space="preserve">evision ist notwendig, um die </w:t>
      </w:r>
      <w:r w:rsidR="008A18C5" w:rsidRPr="001555C8">
        <w:t xml:space="preserve">auf Bundesebene per 1. </w:t>
      </w:r>
      <w:r w:rsidR="00826983" w:rsidRPr="001555C8">
        <w:t>Januar</w:t>
      </w:r>
      <w:r w:rsidR="008A18C5" w:rsidRPr="001555C8">
        <w:t xml:space="preserve"> 2012 in Kraft getretene Revision des Bundesgesetz</w:t>
      </w:r>
      <w:r w:rsidR="009F38F0" w:rsidRPr="001555C8">
        <w:t>es</w:t>
      </w:r>
      <w:r w:rsidR="008A18C5" w:rsidRPr="001555C8">
        <w:t xml:space="preserve"> über die berufliche Alters-, Hinterlassenen- und Invalidenvorsorge (BVG) umzusetzen, </w:t>
      </w:r>
      <w:r w:rsidRPr="001555C8">
        <w:t>welche</w:t>
      </w:r>
      <w:r w:rsidR="008A18C5" w:rsidRPr="001555C8">
        <w:t xml:space="preserve"> die Finanzierung von Vorsorgeeinrichtungen öffentlich-rechtlicher Körperschaften neu regelt. </w:t>
      </w:r>
      <w:r w:rsidR="00AA7301" w:rsidRPr="001555C8">
        <w:t>Im Zuge dieser Reform soll gleichzeitig das bestehende Leistungsprimat auf ein Beitragsprimat umgestellt werden, um die Kasse für die Zukunft nachhaltig aufzustellen.</w:t>
      </w:r>
    </w:p>
    <w:p w:rsidR="000A4E83" w:rsidRPr="001555C8" w:rsidRDefault="000A4E83" w:rsidP="00C3664B">
      <w:pPr>
        <w:pStyle w:val="berschrift1"/>
        <w:numPr>
          <w:ilvl w:val="0"/>
          <w:numId w:val="2"/>
        </w:numPr>
        <w:tabs>
          <w:tab w:val="clear" w:pos="567"/>
          <w:tab w:val="left" w:pos="992"/>
        </w:tabs>
      </w:pPr>
      <w:bookmarkStart w:id="3" w:name="_Toc297883850"/>
      <w:bookmarkStart w:id="4" w:name="_Toc297884916"/>
      <w:bookmarkStart w:id="5" w:name="_Toc297903680"/>
      <w:bookmarkStart w:id="6" w:name="_Toc297883852"/>
      <w:bookmarkStart w:id="7" w:name="_Toc297884918"/>
      <w:bookmarkStart w:id="8" w:name="_Toc297903682"/>
      <w:bookmarkStart w:id="9" w:name="_Toc297883853"/>
      <w:bookmarkStart w:id="10" w:name="_Toc297884919"/>
      <w:bookmarkStart w:id="11" w:name="_Toc297903683"/>
      <w:bookmarkStart w:id="12" w:name="_Toc328050155"/>
      <w:bookmarkStart w:id="13" w:name="_Toc358786176"/>
      <w:bookmarkEnd w:id="2"/>
      <w:bookmarkEnd w:id="3"/>
      <w:bookmarkEnd w:id="4"/>
      <w:bookmarkEnd w:id="5"/>
      <w:bookmarkEnd w:id="6"/>
      <w:bookmarkEnd w:id="7"/>
      <w:bookmarkEnd w:id="8"/>
      <w:bookmarkEnd w:id="9"/>
      <w:bookmarkEnd w:id="10"/>
      <w:bookmarkEnd w:id="11"/>
      <w:r w:rsidRPr="001555C8">
        <w:t>Einleitung</w:t>
      </w:r>
      <w:bookmarkEnd w:id="12"/>
      <w:bookmarkEnd w:id="13"/>
    </w:p>
    <w:p w:rsidR="000A4E83" w:rsidRPr="001555C8" w:rsidRDefault="000A4E83" w:rsidP="000A4E83">
      <w:pPr>
        <w:pStyle w:val="Textkrper"/>
      </w:pPr>
      <w:r w:rsidRPr="001555C8">
        <w:t xml:space="preserve">Es sind zwei Gründe, die </w:t>
      </w:r>
      <w:r w:rsidR="009C51C8" w:rsidRPr="001555C8">
        <w:t xml:space="preserve">eine </w:t>
      </w:r>
      <w:r w:rsidR="00B84A85" w:rsidRPr="001555C8">
        <w:t>R</w:t>
      </w:r>
      <w:r w:rsidR="009C51C8" w:rsidRPr="001555C8">
        <w:t xml:space="preserve">evision </w:t>
      </w:r>
      <w:r w:rsidR="00E406D8" w:rsidRPr="001555C8">
        <w:t>erforderlich machen</w:t>
      </w:r>
      <w:r w:rsidRPr="001555C8">
        <w:t>:</w:t>
      </w:r>
    </w:p>
    <w:p w:rsidR="00E406D8" w:rsidRPr="001555C8" w:rsidRDefault="00E406D8" w:rsidP="000A4E83">
      <w:pPr>
        <w:pStyle w:val="Textkrper"/>
      </w:pPr>
    </w:p>
    <w:p w:rsidR="000A4E83" w:rsidRPr="001555C8" w:rsidRDefault="000A4E83" w:rsidP="00786C73">
      <w:pPr>
        <w:pStyle w:val="Textkrper"/>
        <w:numPr>
          <w:ilvl w:val="0"/>
          <w:numId w:val="18"/>
        </w:numPr>
        <w:tabs>
          <w:tab w:val="clear" w:pos="720"/>
          <w:tab w:val="num" w:pos="567"/>
        </w:tabs>
        <w:spacing w:after="120"/>
        <w:ind w:left="567" w:hanging="567"/>
      </w:pPr>
      <w:r w:rsidRPr="001555C8">
        <w:t>Per 1.</w:t>
      </w:r>
      <w:r w:rsidR="00826983" w:rsidRPr="001555C8">
        <w:t xml:space="preserve"> Januar </w:t>
      </w:r>
      <w:r w:rsidRPr="001555C8">
        <w:t xml:space="preserve">2012 ist auf Bundesebene eine Revision des BVG in Kraft getreten, </w:t>
      </w:r>
      <w:r w:rsidR="00151258" w:rsidRPr="001555C8">
        <w:t>welche</w:t>
      </w:r>
      <w:r w:rsidRPr="001555C8">
        <w:t xml:space="preserve"> die Finanzierung von Vorsorgeeinrichtungen öffentlich-rechtlicher Körperscha</w:t>
      </w:r>
      <w:r w:rsidRPr="001555C8">
        <w:t>f</w:t>
      </w:r>
      <w:r w:rsidRPr="001555C8">
        <w:t>ten neu regelt. Diese Revision strebt eine starke Verselbstständigung der Pension</w:t>
      </w:r>
      <w:r w:rsidRPr="001555C8">
        <w:t>s</w:t>
      </w:r>
      <w:r w:rsidRPr="001555C8">
        <w:t xml:space="preserve">kassen von öffentlich-rechtlichen Körperschaften an. Neu kann der Gesetzgeber nur noch wenig vorgeben. Vieles hat das oberste paritätische Organ, bei der </w:t>
      </w:r>
      <w:r w:rsidR="00151258" w:rsidRPr="001555C8">
        <w:t>PK Olten die Pensionskommission</w:t>
      </w:r>
      <w:r w:rsidRPr="001555C8">
        <w:t xml:space="preserve">, von Gesetzes wegen neu selbst zu regeln, beispielsweise die Höhe des technischen Zinssatzes. Die hauptsächlichste Änderung ist aber diejenige, dass </w:t>
      </w:r>
      <w:r w:rsidR="00151258" w:rsidRPr="001555C8">
        <w:t>das Gemeindeparlament</w:t>
      </w:r>
      <w:r w:rsidRPr="001555C8">
        <w:t xml:space="preserve"> nur noch entweder die Bestimmungen über die Leistu</w:t>
      </w:r>
      <w:r w:rsidRPr="001555C8">
        <w:t>n</w:t>
      </w:r>
      <w:r w:rsidRPr="001555C8">
        <w:t>gen oder jene über die Finanzierung erlassen darf. Die gesetzlichen Anpassungen sind bis spätestens Ende 2013 vorzunehmen, da die Übergangsfrist dieses neue</w:t>
      </w:r>
      <w:r w:rsidR="0020268B" w:rsidRPr="001555C8">
        <w:t>n</w:t>
      </w:r>
      <w:r w:rsidRPr="001555C8">
        <w:t xml:space="preserve"> Bunde</w:t>
      </w:r>
      <w:r w:rsidRPr="001555C8">
        <w:t>s</w:t>
      </w:r>
      <w:r w:rsidRPr="001555C8">
        <w:t>gesetzes auf den 1.</w:t>
      </w:r>
      <w:r w:rsidR="00826983" w:rsidRPr="001555C8">
        <w:t xml:space="preserve"> Januar </w:t>
      </w:r>
      <w:r w:rsidRPr="001555C8">
        <w:t>2014 abläuft.</w:t>
      </w:r>
    </w:p>
    <w:p w:rsidR="000A4E83" w:rsidRPr="001555C8" w:rsidRDefault="000A4E83" w:rsidP="00786C73">
      <w:pPr>
        <w:pStyle w:val="Textkrper"/>
        <w:numPr>
          <w:ilvl w:val="0"/>
          <w:numId w:val="18"/>
        </w:numPr>
        <w:tabs>
          <w:tab w:val="clear" w:pos="720"/>
          <w:tab w:val="num" w:pos="567"/>
        </w:tabs>
        <w:spacing w:after="120"/>
        <w:ind w:left="567" w:hanging="567"/>
      </w:pPr>
      <w:r w:rsidRPr="001555C8">
        <w:t>Das rekordtiefe Zinsniveau, die Verwerfungen an den Kapitalmärkten sowie die Zunahme der Lebenserwartung zwingen die Pensionskassen zu versicherungstechn</w:t>
      </w:r>
      <w:r w:rsidRPr="001555C8">
        <w:t>i</w:t>
      </w:r>
      <w:r w:rsidRPr="001555C8">
        <w:t xml:space="preserve">schen Anpassungen. Dies geschieht insbesondere über eine Senkung des technischen Zinssatzes. </w:t>
      </w:r>
      <w:r w:rsidR="0005190E" w:rsidRPr="001555C8">
        <w:t>Solcherlei</w:t>
      </w:r>
      <w:r w:rsidRPr="001555C8">
        <w:t xml:space="preserve"> hat aber Konsequenzen für das Finanzierungsgleichgewicht der Kasse. Wird eine tiefere Sollrendite einkalkuliert, müssen entweder höhere </w:t>
      </w:r>
      <w:r w:rsidR="00976270" w:rsidRPr="001555C8">
        <w:t xml:space="preserve">Beiträge </w:t>
      </w:r>
      <w:r w:rsidRPr="001555C8">
        <w:t xml:space="preserve">vorgesehen oder die Leistungen </w:t>
      </w:r>
      <w:r w:rsidR="00B84A85" w:rsidRPr="001555C8">
        <w:t xml:space="preserve">müssen </w:t>
      </w:r>
      <w:r w:rsidRPr="001555C8">
        <w:t>reduziert werden.</w:t>
      </w:r>
      <w:r w:rsidR="005856BC" w:rsidRPr="001555C8">
        <w:t xml:space="preserve"> Um Flexibilität in der Verzinsung zu erreichen, soll das heutige Leistungs- auf ein Beitragsprimat umgestellt werden.</w:t>
      </w:r>
    </w:p>
    <w:p w:rsidR="00976270" w:rsidRPr="001555C8" w:rsidRDefault="00976270" w:rsidP="00976270">
      <w:pPr>
        <w:pStyle w:val="Textkrper"/>
        <w:spacing w:after="120"/>
        <w:ind w:left="567"/>
      </w:pPr>
    </w:p>
    <w:p w:rsidR="000A4E83" w:rsidRPr="001555C8" w:rsidRDefault="000A4E83" w:rsidP="000A4E83">
      <w:pPr>
        <w:pStyle w:val="Textkrper"/>
      </w:pPr>
      <w:r w:rsidRPr="001555C8">
        <w:t xml:space="preserve">In Kapitel </w:t>
      </w:r>
      <w:fldSimple w:instr=" REF _Ref336683751 \r \h  \* MERGEFORMAT ">
        <w:r w:rsidR="006674A1">
          <w:t>4</w:t>
        </w:r>
      </w:fldSimple>
      <w:r w:rsidRPr="001555C8">
        <w:t xml:space="preserve"> sind die Optionen für den Gesetzgeber </w:t>
      </w:r>
      <w:r w:rsidR="008A18C5" w:rsidRPr="001555C8">
        <w:t>aufgrund der Änderungen des BVG dargestellt</w:t>
      </w:r>
      <w:r w:rsidRPr="001555C8">
        <w:t xml:space="preserve">. In den weiteren Kapiteln finden </w:t>
      </w:r>
      <w:r w:rsidR="00976270" w:rsidRPr="001555C8">
        <w:t>sich</w:t>
      </w:r>
      <w:r w:rsidRPr="001555C8">
        <w:t xml:space="preserve"> eine Auslegeordnung zu den möglichen Optionen auf der Leistungs- und Finanzierungsseite</w:t>
      </w:r>
      <w:r w:rsidR="00976270" w:rsidRPr="001555C8">
        <w:t xml:space="preserve"> sowie </w:t>
      </w:r>
      <w:r w:rsidR="00EB07D6" w:rsidRPr="001555C8">
        <w:t>die Statuten</w:t>
      </w:r>
      <w:r w:rsidR="00976270" w:rsidRPr="001555C8">
        <w:t xml:space="preserve"> samt Erläuterungen dazu</w:t>
      </w:r>
      <w:r w:rsidRPr="001555C8">
        <w:t>.</w:t>
      </w:r>
    </w:p>
    <w:p w:rsidR="00C3664B" w:rsidRPr="001555C8" w:rsidRDefault="00C3664B" w:rsidP="00C3664B">
      <w:pPr>
        <w:pStyle w:val="berschrift1"/>
        <w:numPr>
          <w:ilvl w:val="0"/>
          <w:numId w:val="2"/>
        </w:numPr>
        <w:tabs>
          <w:tab w:val="clear" w:pos="567"/>
          <w:tab w:val="left" w:pos="992"/>
        </w:tabs>
      </w:pPr>
      <w:r w:rsidRPr="001555C8">
        <w:br w:type="page"/>
      </w:r>
      <w:bookmarkStart w:id="14" w:name="_Toc358786177"/>
      <w:r w:rsidRPr="001555C8">
        <w:t xml:space="preserve">Finanzielle Entwicklung seit </w:t>
      </w:r>
      <w:r w:rsidR="005856BC" w:rsidRPr="001555C8">
        <w:t>2010</w:t>
      </w:r>
      <w:r w:rsidR="00EB07D6" w:rsidRPr="001555C8">
        <w:t xml:space="preserve"> </w:t>
      </w:r>
      <w:r w:rsidRPr="001555C8">
        <w:t>und aktueller Stand</w:t>
      </w:r>
      <w:bookmarkEnd w:id="14"/>
    </w:p>
    <w:p w:rsidR="000A4E83" w:rsidRPr="001555C8" w:rsidRDefault="000A4E83" w:rsidP="00F43B82">
      <w:pPr>
        <w:pStyle w:val="berschrift2"/>
        <w:tabs>
          <w:tab w:val="clear" w:pos="992"/>
          <w:tab w:val="clear" w:pos="2836"/>
        </w:tabs>
        <w:ind w:left="426" w:hanging="426"/>
      </w:pPr>
      <w:bookmarkStart w:id="15" w:name="_Toc328050157"/>
      <w:bookmarkStart w:id="16" w:name="_Toc358786178"/>
      <w:r w:rsidRPr="001555C8">
        <w:t xml:space="preserve">Kurzer Abriss der Revisionen seit </w:t>
      </w:r>
      <w:bookmarkEnd w:id="15"/>
      <w:r w:rsidR="005856BC" w:rsidRPr="001555C8">
        <w:t>2012</w:t>
      </w:r>
      <w:bookmarkEnd w:id="16"/>
    </w:p>
    <w:p w:rsidR="0005190E" w:rsidRPr="001555C8" w:rsidRDefault="0005190E" w:rsidP="0005190E">
      <w:pPr>
        <w:pStyle w:val="Textkrper"/>
      </w:pPr>
      <w:r w:rsidRPr="001555C8">
        <w:t>Die letzte Überarbeitung der Pensionskassenstatuten beschloss das Gemeindeparlament am 15. Dezember 201</w:t>
      </w:r>
      <w:r w:rsidR="004D0876">
        <w:t>1</w:t>
      </w:r>
      <w:r w:rsidRPr="001555C8">
        <w:t>; sie ist per 1. Januar 2012 in Kraft getreten.</w:t>
      </w:r>
    </w:p>
    <w:p w:rsidR="0005190E" w:rsidRPr="001555C8" w:rsidRDefault="0005190E" w:rsidP="0005190E">
      <w:pPr>
        <w:pStyle w:val="Textkrper"/>
      </w:pPr>
    </w:p>
    <w:p w:rsidR="0005190E" w:rsidRPr="001555C8" w:rsidRDefault="0005190E" w:rsidP="0005190E">
      <w:pPr>
        <w:pStyle w:val="Textkrper"/>
      </w:pPr>
      <w:r w:rsidRPr="001555C8">
        <w:t>Bei dieser Revision wurden folgende Anpassungen vorgenommen:</w:t>
      </w:r>
    </w:p>
    <w:p w:rsidR="0005190E" w:rsidRPr="001555C8" w:rsidRDefault="0005190E" w:rsidP="0005190E">
      <w:pPr>
        <w:pStyle w:val="Textkrper"/>
      </w:pPr>
    </w:p>
    <w:p w:rsidR="0005190E" w:rsidRPr="001555C8" w:rsidRDefault="0005190E" w:rsidP="0005190E">
      <w:pPr>
        <w:pStyle w:val="Textkrper"/>
      </w:pPr>
      <w:r w:rsidRPr="001555C8">
        <w:t xml:space="preserve">Einführung der neuen technischen Grundlage BVG 2010: Die technischen Grundlagen wurden periodisch an die neusten versicherungstechnischen Gegebenheiten angepasst. </w:t>
      </w:r>
    </w:p>
    <w:p w:rsidR="0005190E" w:rsidRPr="001555C8" w:rsidRDefault="0005190E" w:rsidP="0005190E">
      <w:pPr>
        <w:pStyle w:val="Textkrper"/>
      </w:pPr>
    </w:p>
    <w:p w:rsidR="0005190E" w:rsidRPr="001555C8" w:rsidRDefault="0005190E" w:rsidP="0005190E">
      <w:pPr>
        <w:pStyle w:val="Textkrper"/>
      </w:pPr>
      <w:r w:rsidRPr="001555C8">
        <w:t>Senkung des technischen Zinssatzes: Aufgrund der aktuellen Entwicklung der Renditen am Kapitalmarkt wurde der technische Zinssatz von 4% auf neu 3.75% festgelegt.</w:t>
      </w:r>
    </w:p>
    <w:p w:rsidR="0005190E" w:rsidRPr="001555C8" w:rsidRDefault="0005190E" w:rsidP="0005190E">
      <w:pPr>
        <w:pStyle w:val="Textkrper"/>
      </w:pPr>
    </w:p>
    <w:p w:rsidR="0005190E" w:rsidRPr="001555C8" w:rsidRDefault="0005190E" w:rsidP="0005190E">
      <w:pPr>
        <w:pStyle w:val="Textkrper"/>
      </w:pPr>
      <w:r w:rsidRPr="001555C8">
        <w:t>Erhöhung der Beiträge für den Einkauf: Mit der Erhöhung der Einkaufsbeiträge für Arbeitnehmer und Arbeitgeber wurde die Ausfinanzierung der steigenden Renten bei der Einkommenserhöhung sichergestellt. Die damalige Erhöhung entsprach einer Zusatzfina</w:t>
      </w:r>
      <w:r w:rsidRPr="001555C8">
        <w:t>n</w:t>
      </w:r>
      <w:r w:rsidRPr="001555C8">
        <w:t>zierung in der Höhe von 0.95 Beitragsprozenten.</w:t>
      </w:r>
    </w:p>
    <w:p w:rsidR="0005190E" w:rsidRPr="001555C8" w:rsidRDefault="0005190E" w:rsidP="0005190E">
      <w:pPr>
        <w:pStyle w:val="Textkrper"/>
      </w:pPr>
    </w:p>
    <w:p w:rsidR="0005190E" w:rsidRPr="001555C8" w:rsidRDefault="0005190E" w:rsidP="0005190E">
      <w:pPr>
        <w:pStyle w:val="Textkrper"/>
      </w:pPr>
      <w:r w:rsidRPr="001555C8">
        <w:t xml:space="preserve">Kapitalabfindung: Per 1. Januar 2012 wurde das maximal zu beziehende Deckungskapital von 30% auf maximal 50% angehoben. </w:t>
      </w:r>
    </w:p>
    <w:p w:rsidR="0005190E" w:rsidRPr="001555C8" w:rsidRDefault="0005190E" w:rsidP="0005190E">
      <w:pPr>
        <w:pStyle w:val="Textkrper"/>
      </w:pPr>
    </w:p>
    <w:p w:rsidR="0005190E" w:rsidRPr="001555C8" w:rsidRDefault="0005190E" w:rsidP="0005190E">
      <w:pPr>
        <w:pStyle w:val="Textkrper"/>
      </w:pPr>
      <w:r w:rsidRPr="001555C8">
        <w:t>Einführung der Lebenspartnerrente: Per 1.1.2012 wurde das Konkubinat mit der Ehe und der eingetragenen Partnerschaft gleichgestellt.</w:t>
      </w:r>
    </w:p>
    <w:p w:rsidR="0005190E" w:rsidRPr="001555C8" w:rsidRDefault="0005190E" w:rsidP="0005190E">
      <w:pPr>
        <w:pStyle w:val="Textkrper"/>
      </w:pPr>
    </w:p>
    <w:p w:rsidR="000A4E83" w:rsidRPr="001555C8" w:rsidRDefault="0005190E" w:rsidP="0005190E">
      <w:pPr>
        <w:pStyle w:val="Textkrper"/>
      </w:pPr>
      <w:r w:rsidRPr="001555C8">
        <w:t>Erhöhung der Leistungen im Todesfall ohne Hinterbliebene auf 50% des Kapitals, anstelle einer bisher maximalen einfachen Altersrente.</w:t>
      </w:r>
    </w:p>
    <w:p w:rsidR="000A4E83" w:rsidRPr="001555C8" w:rsidRDefault="000A4E83" w:rsidP="00F43B82">
      <w:pPr>
        <w:pStyle w:val="berschrift2"/>
        <w:tabs>
          <w:tab w:val="clear" w:pos="992"/>
          <w:tab w:val="clear" w:pos="2836"/>
        </w:tabs>
        <w:ind w:left="426" w:hanging="426"/>
      </w:pPr>
      <w:bookmarkStart w:id="17" w:name="_Toc328050158"/>
      <w:bookmarkStart w:id="18" w:name="_Toc358786179"/>
      <w:r w:rsidRPr="001555C8">
        <w:t>Aktueller Stand</w:t>
      </w:r>
      <w:bookmarkEnd w:id="17"/>
      <w:bookmarkEnd w:id="18"/>
      <w:r w:rsidRPr="001555C8">
        <w:t xml:space="preserve"> </w:t>
      </w:r>
    </w:p>
    <w:p w:rsidR="00EC4C89" w:rsidRPr="001555C8" w:rsidRDefault="000A4E83" w:rsidP="000A4E83">
      <w:pPr>
        <w:pStyle w:val="Textkrper"/>
      </w:pPr>
      <w:r w:rsidRPr="001555C8">
        <w:t xml:space="preserve">Die </w:t>
      </w:r>
      <w:r w:rsidR="00151258" w:rsidRPr="001555C8">
        <w:t>PK Olten</w:t>
      </w:r>
      <w:r w:rsidRPr="001555C8">
        <w:t xml:space="preserve"> weist Ende 201</w:t>
      </w:r>
      <w:r w:rsidR="00BF1722" w:rsidRPr="001555C8">
        <w:t>2</w:t>
      </w:r>
      <w:r w:rsidRPr="001555C8">
        <w:t xml:space="preserve"> einen Deckungsgrad von </w:t>
      </w:r>
      <w:r w:rsidR="00975C0B" w:rsidRPr="001555C8">
        <w:t>79</w:t>
      </w:r>
      <w:r w:rsidR="00151258" w:rsidRPr="001555C8">
        <w:t>.</w:t>
      </w:r>
      <w:r w:rsidR="00CD360A" w:rsidRPr="001555C8">
        <w:t>6</w:t>
      </w:r>
      <w:r w:rsidR="00151258" w:rsidRPr="001555C8">
        <w:t>%</w:t>
      </w:r>
      <w:r w:rsidRPr="001555C8">
        <w:t xml:space="preserve"> aus. Im Jahr 201</w:t>
      </w:r>
      <w:r w:rsidR="00BF1722" w:rsidRPr="001555C8">
        <w:t>2</w:t>
      </w:r>
      <w:r w:rsidRPr="001555C8">
        <w:t xml:space="preserve"> wurde eine Performance von </w:t>
      </w:r>
      <w:r w:rsidR="00CD360A" w:rsidRPr="001555C8">
        <w:t>6</w:t>
      </w:r>
      <w:r w:rsidR="00151258" w:rsidRPr="001555C8">
        <w:t>.</w:t>
      </w:r>
      <w:r w:rsidR="00CD360A" w:rsidRPr="001555C8">
        <w:t>2</w:t>
      </w:r>
      <w:r w:rsidRPr="001555C8">
        <w:t xml:space="preserve">% erzielt, während die Sollrendite (notwendige Rendite zum Halten des Deckungsgrads) </w:t>
      </w:r>
      <w:r w:rsidR="00EC4C89" w:rsidRPr="001555C8">
        <w:t xml:space="preserve">rund </w:t>
      </w:r>
      <w:r w:rsidRPr="001555C8">
        <w:t>4.</w:t>
      </w:r>
      <w:r w:rsidR="00151258" w:rsidRPr="001555C8">
        <w:t>5</w:t>
      </w:r>
      <w:r w:rsidRPr="001555C8">
        <w:t>% bet</w:t>
      </w:r>
      <w:r w:rsidR="00151258" w:rsidRPr="001555C8">
        <w:t>rägt. Die Deckungslücke per 31.12.</w:t>
      </w:r>
      <w:r w:rsidRPr="001555C8">
        <w:t>201</w:t>
      </w:r>
      <w:r w:rsidR="00BF1722" w:rsidRPr="001555C8">
        <w:t>2</w:t>
      </w:r>
      <w:r w:rsidRPr="001555C8">
        <w:t xml:space="preserve"> beträgt </w:t>
      </w:r>
      <w:r w:rsidR="00151258" w:rsidRPr="001555C8">
        <w:t>CHF </w:t>
      </w:r>
      <w:r w:rsidR="00BF1722" w:rsidRPr="001555C8">
        <w:t>4</w:t>
      </w:r>
      <w:r w:rsidR="00975C0B" w:rsidRPr="001555C8">
        <w:t>2</w:t>
      </w:r>
      <w:r w:rsidR="00151258" w:rsidRPr="001555C8">
        <w:t>.</w:t>
      </w:r>
      <w:r w:rsidR="00CD360A" w:rsidRPr="001555C8">
        <w:t>456</w:t>
      </w:r>
      <w:r w:rsidR="00151258" w:rsidRPr="001555C8">
        <w:t xml:space="preserve"> Mio</w:t>
      </w:r>
      <w:r w:rsidRPr="001555C8">
        <w:t xml:space="preserve">. </w:t>
      </w:r>
      <w:r w:rsidR="00CD360A" w:rsidRPr="001555C8">
        <w:t>Der technische Zinssatz der aktiven Versicherten beläuft sich auf 3.75%, derjenige der Rentenbeziehenden auf 3.0%.</w:t>
      </w:r>
    </w:p>
    <w:p w:rsidR="00EC4C89" w:rsidRPr="001555C8" w:rsidRDefault="00EC4C89" w:rsidP="000A4E83">
      <w:pPr>
        <w:pStyle w:val="Textkrper"/>
      </w:pPr>
    </w:p>
    <w:p w:rsidR="000A4E83" w:rsidRPr="001555C8" w:rsidRDefault="000A4E83" w:rsidP="000A4E83">
      <w:pPr>
        <w:pStyle w:val="Textkrper"/>
      </w:pPr>
      <w:r w:rsidRPr="001555C8">
        <w:t xml:space="preserve">Die </w:t>
      </w:r>
      <w:r w:rsidR="00151258" w:rsidRPr="001555C8">
        <w:t>PK Olten</w:t>
      </w:r>
      <w:r w:rsidRPr="001555C8">
        <w:t xml:space="preserve"> weist gute Leistungen aus. Ein Rentensatz von 6</w:t>
      </w:r>
      <w:r w:rsidR="00DC4E3B" w:rsidRPr="001555C8">
        <w:t>0</w:t>
      </w:r>
      <w:r w:rsidR="00EC4C89" w:rsidRPr="001555C8">
        <w:t xml:space="preserve">% im Alter 63 nach </w:t>
      </w:r>
      <w:r w:rsidR="00DC4E3B" w:rsidRPr="001555C8">
        <w:t xml:space="preserve">bereits </w:t>
      </w:r>
      <w:r w:rsidR="00EC4C89" w:rsidRPr="001555C8">
        <w:t xml:space="preserve">35 Versicherungsjahren </w:t>
      </w:r>
      <w:r w:rsidRPr="001555C8">
        <w:t xml:space="preserve">ist heute </w:t>
      </w:r>
      <w:r w:rsidR="005856BC" w:rsidRPr="001555C8">
        <w:t xml:space="preserve">keine Selbstverständlichkeit mehr: </w:t>
      </w:r>
      <w:r w:rsidR="00EC4C89" w:rsidRPr="001555C8">
        <w:t xml:space="preserve">In den letzten Jahren </w:t>
      </w:r>
      <w:r w:rsidRPr="001555C8">
        <w:t>haben zahlreiche Kassen ihr Leistungsziel wegen der schwierigen Anlagemärkte senken müssen.</w:t>
      </w:r>
    </w:p>
    <w:p w:rsidR="000A4E83" w:rsidRPr="001555C8" w:rsidRDefault="00885354" w:rsidP="00C3664B">
      <w:pPr>
        <w:pStyle w:val="berschrift1"/>
        <w:numPr>
          <w:ilvl w:val="0"/>
          <w:numId w:val="2"/>
        </w:numPr>
        <w:tabs>
          <w:tab w:val="clear" w:pos="567"/>
          <w:tab w:val="left" w:pos="992"/>
        </w:tabs>
      </w:pPr>
      <w:bookmarkStart w:id="19" w:name="_Toc328050159"/>
      <w:bookmarkStart w:id="20" w:name="_Ref336683751"/>
      <w:r w:rsidRPr="001555C8">
        <w:br w:type="page"/>
      </w:r>
      <w:bookmarkStart w:id="21" w:name="_Toc358786180"/>
      <w:r w:rsidR="000A4E83" w:rsidRPr="001555C8">
        <w:t xml:space="preserve">Gesetzliche </w:t>
      </w:r>
      <w:bookmarkStart w:id="22" w:name="_Toc327346433"/>
      <w:r w:rsidR="000A4E83" w:rsidRPr="001555C8">
        <w:t>Rahmenbedingungen</w:t>
      </w:r>
      <w:bookmarkEnd w:id="19"/>
      <w:bookmarkEnd w:id="20"/>
      <w:bookmarkEnd w:id="21"/>
      <w:r w:rsidR="000A4E83" w:rsidRPr="001555C8">
        <w:t xml:space="preserve"> </w:t>
      </w:r>
      <w:bookmarkEnd w:id="22"/>
    </w:p>
    <w:p w:rsidR="000A4E83" w:rsidRPr="001555C8" w:rsidRDefault="000A4E83" w:rsidP="00F43B82">
      <w:pPr>
        <w:pStyle w:val="berschrift2"/>
        <w:tabs>
          <w:tab w:val="clear" w:pos="992"/>
          <w:tab w:val="clear" w:pos="2836"/>
        </w:tabs>
        <w:ind w:left="426" w:hanging="426"/>
      </w:pPr>
      <w:bookmarkStart w:id="23" w:name="_Toc328050160"/>
      <w:bookmarkStart w:id="24" w:name="_Toc358786181"/>
      <w:r w:rsidRPr="001555C8">
        <w:t>Überblick</w:t>
      </w:r>
      <w:bookmarkEnd w:id="23"/>
      <w:bookmarkEnd w:id="24"/>
    </w:p>
    <w:p w:rsidR="00782837" w:rsidRPr="001555C8" w:rsidRDefault="000A4E83" w:rsidP="000A4E83">
      <w:pPr>
        <w:pStyle w:val="Textkrper"/>
      </w:pPr>
      <w:r w:rsidRPr="001555C8">
        <w:t xml:space="preserve">Einrichtungen des öffentlichen Rechts können neu entweder die Bestimmungen über die Leistungen oder jene über die Finanzierung von der betreffenden öffentlich-rechtlichen Körperschaft erlassen (Art. 50 Abs. 2 BVG). </w:t>
      </w:r>
    </w:p>
    <w:p w:rsidR="005A6037" w:rsidRPr="001555C8" w:rsidRDefault="005A6037" w:rsidP="000A4E83">
      <w:pPr>
        <w:pStyle w:val="Textkrper"/>
      </w:pPr>
    </w:p>
    <w:p w:rsidR="000A4E83" w:rsidRPr="001555C8" w:rsidRDefault="000A4E83" w:rsidP="000A4E83">
      <w:pPr>
        <w:pStyle w:val="Textkrper"/>
      </w:pPr>
      <w:r w:rsidRPr="001555C8">
        <w:t>Nicht im Gesetz sondern gemäss BVG v</w:t>
      </w:r>
      <w:r w:rsidR="00782837" w:rsidRPr="001555C8">
        <w:t>on der Pensionskommission</w:t>
      </w:r>
      <w:r w:rsidRPr="001555C8">
        <w:t xml:space="preserve"> festgelegt wird der technische Zinssatz. Dieser hat aber einen wesentlichen Einfluss auf das Finanzierung</w:t>
      </w:r>
      <w:r w:rsidRPr="001555C8">
        <w:t>s</w:t>
      </w:r>
      <w:r w:rsidRPr="001555C8">
        <w:t>gleichgewicht bei gegebenen Leistungen bzw. auf die mögliche Höhe der Leistungen bei gegebener Finanzierung.</w:t>
      </w:r>
    </w:p>
    <w:p w:rsidR="00782837" w:rsidRPr="001555C8" w:rsidRDefault="00782837" w:rsidP="000A4E83">
      <w:pPr>
        <w:pStyle w:val="Textkrper"/>
      </w:pPr>
    </w:p>
    <w:p w:rsidR="000A4E83" w:rsidRPr="001555C8" w:rsidRDefault="000A4E83" w:rsidP="000A4E83">
      <w:pPr>
        <w:pStyle w:val="Textkrper"/>
      </w:pPr>
      <w:r w:rsidRPr="001555C8">
        <w:t>Der Gesetzgeber kann weiter das Rücktrittsalter festlegen, da dies primär eine personalrechtlich</w:t>
      </w:r>
      <w:r w:rsidR="00F07BBE" w:rsidRPr="001555C8">
        <w:t>e</w:t>
      </w:r>
      <w:r w:rsidRPr="001555C8">
        <w:t xml:space="preserve"> Angelegenheit ist.</w:t>
      </w:r>
    </w:p>
    <w:p w:rsidR="00782837" w:rsidRPr="001555C8" w:rsidRDefault="00782837" w:rsidP="000A4E83">
      <w:pPr>
        <w:pStyle w:val="Textkrper"/>
      </w:pPr>
    </w:p>
    <w:p w:rsidR="000A4E83" w:rsidRPr="001555C8" w:rsidRDefault="000A4E83" w:rsidP="000A4E83">
      <w:pPr>
        <w:pStyle w:val="Textkrper"/>
      </w:pPr>
      <w:r w:rsidRPr="001555C8">
        <w:t>Gemäss BVG besteht für öffentlich-rechtliche Kassen die Option, die Kasse im System der Teilkapitalisierung zu führen. Diese</w:t>
      </w:r>
      <w:r w:rsidR="00E04461" w:rsidRPr="001555C8">
        <w:t>n</w:t>
      </w:r>
      <w:r w:rsidRPr="001555C8">
        <w:t xml:space="preserve"> Entscheid fällt gemäss BVG die Kasse, der Entscheid ist allerdings an die Bedingung gebunden, dass eine Staatsgarantie für die betroffene Pensionskasse </w:t>
      </w:r>
      <w:r w:rsidR="001A100E" w:rsidRPr="001555C8">
        <w:t xml:space="preserve">vorhanden </w:t>
      </w:r>
      <w:r w:rsidRPr="001555C8">
        <w:t>ist.</w:t>
      </w:r>
    </w:p>
    <w:p w:rsidR="000A4E83" w:rsidRPr="001555C8" w:rsidRDefault="00E406D8" w:rsidP="000A4E83">
      <w:pPr>
        <w:pStyle w:val="berschrift3"/>
        <w:rPr>
          <w:lang w:eastAsia="de-CH"/>
        </w:rPr>
      </w:pPr>
      <w:bookmarkStart w:id="25" w:name="_Ref337645182"/>
      <w:bookmarkStart w:id="26" w:name="_Toc358786182"/>
      <w:r w:rsidRPr="001555C8">
        <w:rPr>
          <w:lang w:eastAsia="de-CH"/>
        </w:rPr>
        <w:t xml:space="preserve">Festlegen der </w:t>
      </w:r>
      <w:r w:rsidR="000A4E83" w:rsidRPr="001555C8">
        <w:rPr>
          <w:lang w:eastAsia="de-CH"/>
        </w:rPr>
        <w:t xml:space="preserve">Leistungen oder </w:t>
      </w:r>
      <w:r w:rsidRPr="001555C8">
        <w:rPr>
          <w:lang w:eastAsia="de-CH"/>
        </w:rPr>
        <w:t xml:space="preserve">der </w:t>
      </w:r>
      <w:r w:rsidR="000A4E83" w:rsidRPr="001555C8">
        <w:rPr>
          <w:lang w:eastAsia="de-CH"/>
        </w:rPr>
        <w:t>Finanzierung</w:t>
      </w:r>
      <w:bookmarkEnd w:id="25"/>
      <w:bookmarkEnd w:id="26"/>
    </w:p>
    <w:p w:rsidR="000A4E83" w:rsidRPr="001555C8" w:rsidRDefault="000A4E83" w:rsidP="000A4E83">
      <w:pPr>
        <w:pStyle w:val="Textkrper"/>
      </w:pPr>
      <w:r w:rsidRPr="001555C8">
        <w:t>Bei Einrichtungen des öffentlichen Rechts können entweder die Bestimmungen über die Leistungen oder jene über die Finanzierung von der betreffenden öffentlich-rechtlichen Körperschaft erlassen werden (Art. 50 Abs. 2 BVG). Für die Anpassung der Gesetze</w:t>
      </w:r>
      <w:r w:rsidR="001A100E" w:rsidRPr="001555C8">
        <w:t xml:space="preserve"> bzw. Statuten</w:t>
      </w:r>
      <w:r w:rsidRPr="001555C8">
        <w:t xml:space="preserve">, der Reglemente etc. besteht eine zweijährige Übergangsfrist, d.h. spätestens per 1. Januar 2014 muss diese Trennung vollzogen sein. Da zwischen den Leistungen und den Beiträgen eine Wechselwirkung besteht, kann das eine nicht ohne </w:t>
      </w:r>
      <w:r w:rsidR="002038AC" w:rsidRPr="001555C8">
        <w:t xml:space="preserve">Beachtung </w:t>
      </w:r>
      <w:r w:rsidRPr="001555C8">
        <w:t>des anderen festgelegt werden.</w:t>
      </w:r>
    </w:p>
    <w:p w:rsidR="00D64D4D" w:rsidRPr="001555C8" w:rsidRDefault="00D64D4D" w:rsidP="000A4E83">
      <w:pPr>
        <w:pStyle w:val="Textkrper"/>
      </w:pPr>
    </w:p>
    <w:p w:rsidR="000A4E83" w:rsidRPr="001555C8" w:rsidRDefault="000A4E83" w:rsidP="000A4E83">
      <w:pPr>
        <w:pStyle w:val="Textkrper"/>
      </w:pPr>
      <w:r w:rsidRPr="001555C8">
        <w:t xml:space="preserve">Mit der Delegation nur noch einer Komponente an den Gesetzgeber soll verhindert werden, dass Leistungen und Beiträge festgelegt werden, die nicht im Gleichgewicht zueinander stehen (= strukturelle Unterfinanzierung). Damit erhält das oberste paritätische Organ einer Vorsorgeeinrichtung </w:t>
      </w:r>
      <w:r w:rsidR="00B84A85" w:rsidRPr="001555C8">
        <w:t xml:space="preserve">gestützt auf das </w:t>
      </w:r>
      <w:r w:rsidRPr="001555C8">
        <w:t>Bundesrecht deutlich mehr Verantwortung und Einfluss als bisher.</w:t>
      </w:r>
    </w:p>
    <w:p w:rsidR="00885354" w:rsidRPr="001555C8" w:rsidRDefault="00885354" w:rsidP="000A4E83">
      <w:pPr>
        <w:pStyle w:val="Textkrper"/>
      </w:pPr>
    </w:p>
    <w:p w:rsidR="00EE68B7" w:rsidRPr="001555C8" w:rsidRDefault="000A4E83" w:rsidP="000A4E83">
      <w:pPr>
        <w:pStyle w:val="Textkrper"/>
      </w:pPr>
      <w:r w:rsidRPr="001555C8">
        <w:t xml:space="preserve">Der technische Zinssatz als Haupteinflussfaktor für die Leistungen und die Finanzierung ist keine in Stein gemeisselte Grösse. Wenn </w:t>
      </w:r>
      <w:r w:rsidR="00E04461" w:rsidRPr="001555C8">
        <w:t xml:space="preserve">sich </w:t>
      </w:r>
      <w:r w:rsidRPr="001555C8">
        <w:t>das Zinsniveau ändert, ist auch der technische Zinssatz anzupassen. Da die Höhe der Beiträge und des Vorsorgekapitals (Leistungsprimat) bzw. des Umwandlungssatzes (Beitragsprimat) im Wesentlichen vom technischen Zinssatz und der Lebenserwartung abhängen und beide keine festen Grössen sind, sollten entweder die B</w:t>
      </w:r>
      <w:r w:rsidR="002038AC" w:rsidRPr="001555C8">
        <w:t>eiträge oder die Leistungen (d.</w:t>
      </w:r>
      <w:r w:rsidRPr="001555C8">
        <w:t xml:space="preserve">h. der Umwandlungssatz im Beitragsprimat) </w:t>
      </w:r>
      <w:r w:rsidR="00BF0146" w:rsidRPr="001555C8">
        <w:t>bei Bedarf</w:t>
      </w:r>
      <w:r w:rsidRPr="001555C8">
        <w:t xml:space="preserve"> angepasst werden können</w:t>
      </w:r>
      <w:r w:rsidR="002038AC" w:rsidRPr="001555C8">
        <w:t>;</w:t>
      </w:r>
      <w:r w:rsidRPr="001555C8">
        <w:t xml:space="preserve"> </w:t>
      </w:r>
      <w:r w:rsidR="002038AC" w:rsidRPr="001555C8">
        <w:t xml:space="preserve">dies </w:t>
      </w:r>
      <w:r w:rsidRPr="001555C8">
        <w:t xml:space="preserve">natürlich jeweils unter Berücksichtigung einer </w:t>
      </w:r>
      <w:r w:rsidR="002038AC" w:rsidRPr="001555C8">
        <w:t xml:space="preserve">angemessenen </w:t>
      </w:r>
      <w:r w:rsidRPr="001555C8">
        <w:t xml:space="preserve">Frist. </w:t>
      </w:r>
    </w:p>
    <w:p w:rsidR="00EE68B7" w:rsidRPr="001555C8" w:rsidRDefault="00EE68B7" w:rsidP="00EE68B7">
      <w:pPr>
        <w:pStyle w:val="Absender"/>
      </w:pPr>
      <w:r w:rsidRPr="001555C8">
        <w:br w:type="page"/>
      </w:r>
    </w:p>
    <w:p w:rsidR="00E406D8" w:rsidRPr="001555C8" w:rsidRDefault="00E406D8" w:rsidP="00E406D8">
      <w:pPr>
        <w:pStyle w:val="berschrift3"/>
        <w:rPr>
          <w:lang w:eastAsia="de-CH"/>
        </w:rPr>
      </w:pPr>
      <w:bookmarkStart w:id="27" w:name="_Toc358786183"/>
      <w:r w:rsidRPr="001555C8">
        <w:rPr>
          <w:lang w:eastAsia="de-CH"/>
        </w:rPr>
        <w:t>Empfehlung Festlegen der Finanzierung</w:t>
      </w:r>
      <w:bookmarkEnd w:id="27"/>
    </w:p>
    <w:p w:rsidR="00FA41A2" w:rsidRPr="001555C8" w:rsidRDefault="000A4E83" w:rsidP="00FA41A2">
      <w:pPr>
        <w:pStyle w:val="Textkrper"/>
      </w:pPr>
      <w:r w:rsidRPr="001555C8">
        <w:t>Aus Risiko- und Kompetenzüberlegungen sollte der Gesetzgeber die Besti</w:t>
      </w:r>
      <w:r w:rsidR="00782837" w:rsidRPr="001555C8">
        <w:t xml:space="preserve">mmungen über die Finanzierung, </w:t>
      </w:r>
      <w:r w:rsidRPr="001555C8">
        <w:t xml:space="preserve">das paritätische Organ diejenigen über die Leistungen festlegen. Dies kann selbstverständlich nicht ohne Kenntnis der "Gegenseite" erfolgen, d.h. der Gesetzgeber muss die mit seinen vorgegebenen Beiträgen zu erwartenden Leistungen kennen und umgekehrt. Sobald die effektiven Leistungen unter das anvisierte Leistungsziel fallen, kann das paritätische Organ der </w:t>
      </w:r>
      <w:r w:rsidR="00151258" w:rsidRPr="001555C8">
        <w:t>PK Olten</w:t>
      </w:r>
      <w:r w:rsidRPr="001555C8">
        <w:t xml:space="preserve"> jederzeit darauf hinweisen und eine Anpassung der Beiträge beantragen.</w:t>
      </w:r>
    </w:p>
    <w:p w:rsidR="00FA41A2" w:rsidRPr="001555C8" w:rsidRDefault="00FA41A2" w:rsidP="00FA41A2">
      <w:pPr>
        <w:pStyle w:val="Textkrper"/>
      </w:pPr>
    </w:p>
    <w:p w:rsidR="00FA41A2" w:rsidRPr="001555C8" w:rsidRDefault="00FA41A2" w:rsidP="00FA41A2">
      <w:pPr>
        <w:pStyle w:val="Textkrper"/>
      </w:pPr>
      <w:r w:rsidRPr="001555C8">
        <w:t xml:space="preserve">Es liegt in der Verantwortung des paritätischen Organs, nicht zu hohe und damit zu risikoreiche Leistungen zu beschliessen. Gerät die Kasse in eine Unterdeckung, muss das paritätische Organ Massnahmen zu Sanierung der Kasse ergreifen. Eine Unterdeckung entsteht dann, wenn Leistungen und Finanzierung nicht im Gleichgewicht sind, d.h. die Beiträge ungenügend sind oder die Sollrendite über der erzielbaren Anlagerendite liegt. </w:t>
      </w:r>
    </w:p>
    <w:p w:rsidR="00FA41A2" w:rsidRPr="001555C8" w:rsidRDefault="00FA41A2" w:rsidP="00FA41A2">
      <w:pPr>
        <w:pStyle w:val="Textkrper"/>
      </w:pPr>
    </w:p>
    <w:p w:rsidR="00FA41A2" w:rsidRPr="001555C8" w:rsidRDefault="00FA41A2" w:rsidP="00FA41A2">
      <w:pPr>
        <w:pStyle w:val="Textkrper"/>
      </w:pPr>
      <w:r w:rsidRPr="001555C8">
        <w:t xml:space="preserve">Die gesetzliche Fixierung der Finanzierungs-Beiträge muss nicht zwingendermassen heissen, dass damit </w:t>
      </w:r>
      <w:r w:rsidR="00B84A85" w:rsidRPr="001555C8">
        <w:t>das</w:t>
      </w:r>
      <w:r w:rsidRPr="001555C8">
        <w:t xml:space="preserve"> Beitragsprimat einhergeht. Das paritätische Organ der PK Olten </w:t>
      </w:r>
      <w:r w:rsidR="00E406D8" w:rsidRPr="001555C8">
        <w:t>kann</w:t>
      </w:r>
      <w:r w:rsidRPr="001555C8">
        <w:t xml:space="preserve"> </w:t>
      </w:r>
      <w:r w:rsidR="00E406D8" w:rsidRPr="001555C8">
        <w:t xml:space="preserve">bei einem </w:t>
      </w:r>
      <w:r w:rsidR="002038AC" w:rsidRPr="001555C8">
        <w:t xml:space="preserve">möglichen </w:t>
      </w:r>
      <w:r w:rsidR="00E406D8" w:rsidRPr="001555C8">
        <w:t xml:space="preserve">Anpassungsbedarf aufgrund der oben </w:t>
      </w:r>
      <w:r w:rsidR="002038AC" w:rsidRPr="001555C8">
        <w:t>beschriebenen</w:t>
      </w:r>
      <w:r w:rsidR="00E406D8" w:rsidRPr="001555C8">
        <w:t xml:space="preserve"> Gründe </w:t>
      </w:r>
      <w:r w:rsidRPr="001555C8">
        <w:t xml:space="preserve">über die Senkung des Rentensatzes einen ähnlichen Effekt erzielen, wie im Beitragsprimat mit einer Senkung des Umwandlungssatzes. </w:t>
      </w:r>
    </w:p>
    <w:p w:rsidR="000A4E83" w:rsidRPr="001555C8" w:rsidRDefault="00724596" w:rsidP="00F43B82">
      <w:pPr>
        <w:pStyle w:val="berschrift2"/>
        <w:tabs>
          <w:tab w:val="clear" w:pos="992"/>
          <w:tab w:val="clear" w:pos="2836"/>
        </w:tabs>
        <w:ind w:left="426" w:hanging="426"/>
      </w:pPr>
      <w:bookmarkStart w:id="28" w:name="_Toc327346435"/>
      <w:bookmarkStart w:id="29" w:name="_Toc328050161"/>
      <w:bookmarkStart w:id="30" w:name="_Toc337028780"/>
      <w:bookmarkStart w:id="31" w:name="_Toc358786184"/>
      <w:r w:rsidRPr="001555C8">
        <w:t xml:space="preserve">Vollkapitalisierung oder </w:t>
      </w:r>
      <w:r w:rsidR="000A4E83" w:rsidRPr="001555C8">
        <w:t>Teilkapitalisierung mit Staatsgarantie</w:t>
      </w:r>
      <w:bookmarkEnd w:id="28"/>
      <w:bookmarkEnd w:id="29"/>
      <w:bookmarkEnd w:id="30"/>
      <w:bookmarkEnd w:id="31"/>
    </w:p>
    <w:p w:rsidR="000A4E83" w:rsidRPr="001555C8" w:rsidRDefault="000A4E83" w:rsidP="000A4E83">
      <w:pPr>
        <w:pStyle w:val="berschrift3"/>
        <w:rPr>
          <w:lang w:eastAsia="de-CH"/>
        </w:rPr>
      </w:pPr>
      <w:bookmarkStart w:id="32" w:name="_Toc358786185"/>
      <w:r w:rsidRPr="001555C8">
        <w:rPr>
          <w:lang w:eastAsia="de-CH"/>
        </w:rPr>
        <w:t>Einleitung</w:t>
      </w:r>
      <w:bookmarkEnd w:id="32"/>
    </w:p>
    <w:p w:rsidR="000A4E83" w:rsidRPr="001555C8" w:rsidRDefault="00623346" w:rsidP="000A4E83">
      <w:pPr>
        <w:pStyle w:val="Textkrper"/>
      </w:pPr>
      <w:r w:rsidRPr="001555C8">
        <w:t>Für Vorsorgeeinrichtung</w:t>
      </w:r>
      <w:r w:rsidR="00E04461" w:rsidRPr="001555C8">
        <w:t>en</w:t>
      </w:r>
      <w:r w:rsidRPr="001555C8">
        <w:t xml:space="preserve"> von öffentlich-rechtlichen Körperschaften sind z</w:t>
      </w:r>
      <w:r w:rsidR="000A4E83" w:rsidRPr="001555C8">
        <w:t xml:space="preserve">wei Systeme der Kapitalisierung erlaubt: </w:t>
      </w:r>
      <w:r w:rsidRPr="001555C8">
        <w:t>d</w:t>
      </w:r>
      <w:r w:rsidR="000A4E83" w:rsidRPr="001555C8">
        <w:t>ie Vollkapitalisierung (Art. 65 Abs. 2 BVG) und die Teilkapitalisi</w:t>
      </w:r>
      <w:r w:rsidR="000A4E83" w:rsidRPr="001555C8">
        <w:t>e</w:t>
      </w:r>
      <w:r w:rsidR="00DC4E3B" w:rsidRPr="001555C8">
        <w:t>rung (Art. </w:t>
      </w:r>
      <w:r w:rsidR="000A4E83" w:rsidRPr="001555C8">
        <w:t xml:space="preserve">72 </w:t>
      </w:r>
      <w:r w:rsidR="00DC4E3B" w:rsidRPr="001555C8">
        <w:t xml:space="preserve">a </w:t>
      </w:r>
      <w:r w:rsidR="00B84A85" w:rsidRPr="001555C8">
        <w:t xml:space="preserve">- </w:t>
      </w:r>
      <w:r w:rsidR="000A4E83" w:rsidRPr="001555C8">
        <w:t xml:space="preserve">g BVG). </w:t>
      </w:r>
      <w:r w:rsidR="00724596" w:rsidRPr="001555C8">
        <w:t xml:space="preserve">Allerdings gelten </w:t>
      </w:r>
      <w:r w:rsidRPr="001555C8">
        <w:t>für die Teilkapitalisierung neu</w:t>
      </w:r>
      <w:r w:rsidR="00724596" w:rsidRPr="001555C8">
        <w:t xml:space="preserve"> klarere Regeln bezüglich Mindestdeckungsgrad, Staatsgarantie und Sanierungsmassnahmen. </w:t>
      </w:r>
      <w:r w:rsidRPr="001555C8">
        <w:t>Die Entscheidung für oder gegen das System der Teilkapitalisierung hängt stark mit der Frage zusammen, welche Übergangskosten ein Gemeinwesen zu finanzieren in der Lage oder gewillt ist.</w:t>
      </w:r>
      <w:r w:rsidR="00117AE3" w:rsidRPr="001555C8">
        <w:t xml:space="preserve"> </w:t>
      </w:r>
      <w:r w:rsidRPr="001555C8">
        <w:t>Die beiden Systeme sind nachfolgend beschrieben.</w:t>
      </w:r>
    </w:p>
    <w:p w:rsidR="000A4E83" w:rsidRPr="001555C8" w:rsidRDefault="000A4E83" w:rsidP="00623346">
      <w:pPr>
        <w:pStyle w:val="berschrift3"/>
      </w:pPr>
      <w:bookmarkStart w:id="33" w:name="_Toc323893226"/>
      <w:bookmarkStart w:id="34" w:name="_Toc358786186"/>
      <w:r w:rsidRPr="001555C8">
        <w:t>Vollkapitalisierung</w:t>
      </w:r>
      <w:bookmarkEnd w:id="33"/>
      <w:bookmarkEnd w:id="34"/>
    </w:p>
    <w:p w:rsidR="00FA41A2" w:rsidRPr="001555C8" w:rsidRDefault="000A4E83" w:rsidP="000A4E83">
      <w:pPr>
        <w:pStyle w:val="Textkrper"/>
      </w:pPr>
      <w:r w:rsidRPr="001555C8">
        <w:t>Sämtliche Verpflichtungen einer Vorsorgeeinrichtung müssen gedeckt sein. Die Vorsorgeeinrichtung muss</w:t>
      </w:r>
      <w:r w:rsidR="002038AC" w:rsidRPr="001555C8">
        <w:t xml:space="preserve"> demnach</w:t>
      </w:r>
      <w:r w:rsidRPr="001555C8">
        <w:t xml:space="preserve"> einen Deckungsgrad von mindestens 100% ausweisen. Bei einem Deckungsgrad von 100% besteht allerdings noch keine finanzielle Risikofähigkeit, da keine Wertschwankungsreserve vorhanden ist.</w:t>
      </w:r>
      <w:r w:rsidR="00FA41A2" w:rsidRPr="001555C8">
        <w:t xml:space="preserve"> </w:t>
      </w:r>
      <w:r w:rsidR="00EB07D6" w:rsidRPr="001555C8">
        <w:t>Deshalb hält die Oberaufsichtskommiss</w:t>
      </w:r>
      <w:r w:rsidR="00EB07D6" w:rsidRPr="001555C8">
        <w:t>i</w:t>
      </w:r>
      <w:r w:rsidR="00EB07D6" w:rsidRPr="001555C8">
        <w:t>on in ihrer Mitteilung Nr. 5 fest, dass die Staatsgarantie bei bisher im System der gemischten Finanzierung geführten Pensionskassen nur bei Vorliegen der notwendigen Wertschwa</w:t>
      </w:r>
      <w:r w:rsidR="00EB07D6" w:rsidRPr="001555C8">
        <w:t>n</w:t>
      </w:r>
      <w:r w:rsidR="00EB07D6" w:rsidRPr="001555C8">
        <w:t>kungsre</w:t>
      </w:r>
      <w:r w:rsidR="00557FCF" w:rsidRPr="001555C8">
        <w:t>s</w:t>
      </w:r>
      <w:r w:rsidR="00EB07D6" w:rsidRPr="001555C8">
        <w:t xml:space="preserve">erve wegfallen kann. </w:t>
      </w:r>
      <w:r w:rsidRPr="001555C8">
        <w:t>Im Teilliquidationsfall, beispielsweise infolge Auflösung eines Anschlussvertrags, werden bei gleichzeitiger Unterdeckung die zu überweisenden Freizügigkeitsguthaben des austretenden Kollektivs gekürzt. Genauso müssen Reserven und freie Mittel bei Überdeckung mitgegeben werden.</w:t>
      </w:r>
    </w:p>
    <w:p w:rsidR="000A4E83" w:rsidRPr="001555C8" w:rsidRDefault="00DC4E3B" w:rsidP="00623346">
      <w:pPr>
        <w:pStyle w:val="berschrift3"/>
      </w:pPr>
      <w:bookmarkStart w:id="35" w:name="_Toc323893227"/>
      <w:r w:rsidRPr="001555C8">
        <w:br w:type="page"/>
      </w:r>
      <w:bookmarkStart w:id="36" w:name="_Toc358786187"/>
      <w:r w:rsidR="000A4E83" w:rsidRPr="001555C8">
        <w:t>Teilkapitalisierung</w:t>
      </w:r>
      <w:bookmarkEnd w:id="35"/>
      <w:bookmarkEnd w:id="36"/>
    </w:p>
    <w:p w:rsidR="000A4E83" w:rsidRPr="001555C8" w:rsidRDefault="000A4E83" w:rsidP="000A4E83">
      <w:pPr>
        <w:pStyle w:val="Textkrper"/>
      </w:pPr>
      <w:r w:rsidRPr="001555C8">
        <w:t>Vorsorgeeinrichtungen öffentlich-rechtlicher Körperschaften, die bei Inkrafttreten der Änderung vom 17. Dezember 2010 (sprich am 1.</w:t>
      </w:r>
      <w:r w:rsidR="00826983" w:rsidRPr="001555C8">
        <w:t> Januar </w:t>
      </w:r>
      <w:r w:rsidRPr="001555C8">
        <w:t>2012) die Anforderungen der Vollkapitalisierung nicht erfüllen und für die eine Staatsgarantie nach Artikel 72c besteht, können mit Zustimmung der Aufsichtsbehörde vom Grundsatz der Vollkapitalisierung abweichen (System der Teilkapitalisierung), sofern ein Finanzierungsplan vorliegt, der ihr finanzielles Gleichgewicht langfristig sicherstellt.</w:t>
      </w:r>
    </w:p>
    <w:p w:rsidR="00FA41A2" w:rsidRPr="001555C8" w:rsidRDefault="00FA41A2" w:rsidP="000A4E83">
      <w:pPr>
        <w:pStyle w:val="Textkrper"/>
      </w:pPr>
    </w:p>
    <w:p w:rsidR="000A4E83" w:rsidRPr="001555C8" w:rsidRDefault="000A4E83" w:rsidP="000A4E83">
      <w:pPr>
        <w:pStyle w:val="Textkrper"/>
      </w:pPr>
      <w:r w:rsidRPr="001555C8">
        <w:t xml:space="preserve">Das BVG sieht vor, dass künftig bei Vorsorgeeinrichtungen in Teilkapitalisierung </w:t>
      </w:r>
      <w:r w:rsidR="002038AC" w:rsidRPr="001555C8">
        <w:t>(</w:t>
      </w:r>
      <w:r w:rsidRPr="001555C8">
        <w:t>mit Staatsgarantie</w:t>
      </w:r>
      <w:r w:rsidR="002038AC" w:rsidRPr="001555C8">
        <w:t>)</w:t>
      </w:r>
      <w:r w:rsidRPr="001555C8">
        <w:t xml:space="preserve"> die Ausgangsdeckungsgrade nicht mehr unterschritten werden dürfen. Die Ausgangsdeckungsgrade sind innerhalb von zwei Jahren nach Inkrafttreten des Gesetzes vom obersten Organ zu bestimmen. Es besteht nur noch vom Niveau dieser Ausgangsd</w:t>
      </w:r>
      <w:r w:rsidRPr="001555C8">
        <w:t>e</w:t>
      </w:r>
      <w:r w:rsidRPr="001555C8">
        <w:t>ckungsgrade bis zu 100% eine Staatsgarantie. Bei Unterschreitung der Ausgangsdeckung</w:t>
      </w:r>
      <w:r w:rsidRPr="001555C8">
        <w:t>s</w:t>
      </w:r>
      <w:r w:rsidRPr="001555C8">
        <w:t>grade sind hingegen Sanierungsmassnahmen zu ergreifen.</w:t>
      </w:r>
    </w:p>
    <w:p w:rsidR="00FA41A2" w:rsidRPr="001555C8" w:rsidRDefault="00FA41A2" w:rsidP="000A4E83">
      <w:pPr>
        <w:pStyle w:val="Textkrper"/>
      </w:pPr>
    </w:p>
    <w:p w:rsidR="000A4E83" w:rsidRPr="001555C8" w:rsidRDefault="005856BC" w:rsidP="000A4E83">
      <w:pPr>
        <w:pStyle w:val="Textkrper"/>
      </w:pPr>
      <w:r w:rsidRPr="001555C8">
        <w:t>Es</w:t>
      </w:r>
      <w:r w:rsidR="000A4E83" w:rsidRPr="001555C8">
        <w:t xml:space="preserve"> sind zwei Ausgangsdeckungsgrade zu unterscheiden: Einerseits derjenige für die gesamte Vorsorgeeinrichtung ("globaler Deckungsgrad") und andererseits derjenige für die aktiven Versicherten, nachdem sämtliche Verpflichtungen gegenüber den Rentenbeziehe</w:t>
      </w:r>
      <w:r w:rsidR="000A4E83" w:rsidRPr="001555C8">
        <w:t>n</w:t>
      </w:r>
      <w:r w:rsidR="000A4E83" w:rsidRPr="001555C8">
        <w:t>den vollumfänglich gedeckt sind. Damit das oberste Organ diese Ausgangsdeckungsgrade – zumindest teilweise – festlegen kann, sind neu die Instrumente einer Wertschwankungsr</w:t>
      </w:r>
      <w:r w:rsidR="000A4E83" w:rsidRPr="001555C8">
        <w:t>e</w:t>
      </w:r>
      <w:r w:rsidR="000A4E83" w:rsidRPr="001555C8">
        <w:t>serve (trotz Unterdeckung) und einer Umlageschwankungsreserve vorgesehen. Allerdings gehen diese zulasten des Deckungsgrads: Weist eine Vorsorgeeinrichtung z.B. einen Deckungsgrad von 90% aus und werden Reserven von 20%-Punkten beschlossen, sinkt der globale Ausgangsdeckungsgrad auf 70%. Damit ergibt sich für das oberste Organ im Hinblick auf den zu erreichenden Mindestdeckungsgrad von 80% ein Zielkonflikt zwischen höheren Reserven einerseits und tieferen Ausgangsdeckungsgraden andererseits: denn ein höherer Ausgangsdeckungsgrad liegt zwar näher bei den zu erreichenden 80%, ohne Reserven ist aber die Wahrscheinlichkeit für die Unterschreitung des Ausgangsdeckung</w:t>
      </w:r>
      <w:r w:rsidR="000A4E83" w:rsidRPr="001555C8">
        <w:t>s</w:t>
      </w:r>
      <w:r w:rsidR="000A4E83" w:rsidRPr="001555C8">
        <w:t>grads infolge eines schlechten Anlagejahrs deutlich höher.</w:t>
      </w:r>
    </w:p>
    <w:p w:rsidR="00FA41A2" w:rsidRPr="001555C8" w:rsidRDefault="00FA41A2" w:rsidP="000A4E83">
      <w:pPr>
        <w:pStyle w:val="Textkrper"/>
      </w:pPr>
    </w:p>
    <w:p w:rsidR="000A4E83" w:rsidRPr="001555C8" w:rsidRDefault="000A4E83" w:rsidP="000A4E83">
      <w:pPr>
        <w:pStyle w:val="Textkrper"/>
      </w:pPr>
      <w:r w:rsidRPr="001555C8">
        <w:t xml:space="preserve">Neu dürfen künftig bei Teilliquidationen, z.B. wegen Auslagerungen von einzelnen Personalbeständen, </w:t>
      </w:r>
      <w:r w:rsidR="002038AC" w:rsidRPr="001555C8">
        <w:t>ebenso</w:t>
      </w:r>
      <w:r w:rsidRPr="001555C8">
        <w:t xml:space="preserve"> in öffentlich-rechtlichen Vorsorgeeinrichtungen mit Teilkapitalisierung die Freizügigkeitsguthaben gekürzt werden, sofern der Deckungsgrad unter dem Ausgangsdeckungsgrad liegt. Als weitere wesentliche materielle Änderungen sind die beiden Regelungen erwähnenswert, wonach der zur Erreichung des Zieldeckungsgrads vorgesehene Finanzierungsplan auch den jeweils erreichten Deckungsgrad gewährleisten soll und die Staatsgarantie erst bei Erreichung eines Deckungsgrads von 100% und zusätzlich vollständiger Wertschwankungsreserve wegfallen kann. Im Gegensatz zu den bei Inkrafttreten des Gesetzes bereits vollkapitalisierten Kassen, die keine Staatsgarantie benötigen, kann es somit sehr lange dauern, bis auf eine solche verzichtet werden kann.</w:t>
      </w:r>
    </w:p>
    <w:p w:rsidR="0086459B" w:rsidRPr="001555C8" w:rsidRDefault="0086459B" w:rsidP="000A4E83">
      <w:pPr>
        <w:pStyle w:val="Textkrper"/>
      </w:pPr>
    </w:p>
    <w:p w:rsidR="000A4E83" w:rsidRPr="001555C8" w:rsidRDefault="000A4E83" w:rsidP="000A4E83">
      <w:pPr>
        <w:pStyle w:val="Textkrper"/>
      </w:pPr>
      <w:r w:rsidRPr="001555C8">
        <w:t xml:space="preserve">Aus versicherungstechnischer Sicht </w:t>
      </w:r>
      <w:r w:rsidR="002038AC" w:rsidRPr="001555C8">
        <w:t xml:space="preserve">ist </w:t>
      </w:r>
      <w:r w:rsidRPr="001555C8">
        <w:t xml:space="preserve">von diesen neuen gesetzlichen </w:t>
      </w:r>
      <w:r w:rsidR="002038AC" w:rsidRPr="001555C8">
        <w:t xml:space="preserve">Aufgaben die anspruchsvollste </w:t>
      </w:r>
      <w:r w:rsidRPr="001555C8">
        <w:t xml:space="preserve">diejenige, </w:t>
      </w:r>
      <w:r w:rsidR="002038AC" w:rsidRPr="001555C8">
        <w:t xml:space="preserve">nach welcher </w:t>
      </w:r>
      <w:r w:rsidRPr="001555C8">
        <w:t>der Ausgangsdeckungsgrad der aktiven Versicherten nicht mehr unterschritten werden darf. Folgendes Beispiel verdeutlicht dies: Angenommen, bei einer öffentlich-rechtlichen Pensionskasse seien die Vorsorgekapitalien für die Rentenbeziehenden und für die aktiven Versicherten gleich gross, d.h. ihr Anteil betrage je 50% – es gibt zahlreiche Kassen, bei denen der Rentneranteil bereits höher ist – und der globale Deckungsgrad belaufe sich auf 70%. Zur Bestimmung des zweiten Ausgangsdeckungsgrads, desjenigen für die aktiven Versicherten, sind nun die Rentenbeziehenden voll zu kapitalisieren, womit für die Aktiven noch 20% des Vermögens verbleiben, was nur noch einen Deckungsgrad von 40% für die aktiven Versicherten ergibt (= 20% : 50%). Bei jeder Pensionierung eines aktiven Versicherten sind damit nur 40% des bei Pensionierung erforderlichen Kapitals vorhanden, die restlichen 60% sind von den verbleibenden Aktiven im Umlageverfahren zu finanzieren. Damit ist jede Kasse mit tiefem Deckungsgrad und hohem Anteil an Rentenbeziehenden auf einen stetigen Zustrom von aktiven Versicherten angewiesen, um den Ausgangsdeckungsgrad für die aktiven Versicherten halten zu können.</w:t>
      </w:r>
    </w:p>
    <w:p w:rsidR="00623346" w:rsidRPr="001555C8" w:rsidRDefault="00E406D8" w:rsidP="00623346">
      <w:pPr>
        <w:pStyle w:val="berschrift3"/>
      </w:pPr>
      <w:bookmarkStart w:id="37" w:name="_Toc358786188"/>
      <w:r w:rsidRPr="001555C8">
        <w:t xml:space="preserve">Schematischer </w:t>
      </w:r>
      <w:r w:rsidR="00623346" w:rsidRPr="001555C8">
        <w:t>Vergleich der beiden Systeme</w:t>
      </w:r>
      <w:bookmarkEnd w:id="37"/>
    </w:p>
    <w:p w:rsidR="000A4E83" w:rsidRPr="001555C8" w:rsidRDefault="000A4E83" w:rsidP="000A4E83">
      <w:pPr>
        <w:pStyle w:val="StyleCaptionArial10pt"/>
        <w:spacing w:before="240" w:after="120" w:line="240" w:lineRule="auto"/>
        <w:ind w:left="1134" w:hanging="1134"/>
        <w:jc w:val="both"/>
      </w:pPr>
      <w:r w:rsidRPr="001555C8">
        <w:t xml:space="preserve">Tabelle </w:t>
      </w:r>
      <w:r w:rsidR="00896579">
        <w:fldChar w:fldCharType="begin"/>
      </w:r>
      <w:r w:rsidR="00C83F16">
        <w:instrText xml:space="preserve"> SEQ Table \* ARABIC </w:instrText>
      </w:r>
      <w:r w:rsidR="00896579">
        <w:fldChar w:fldCharType="separate"/>
      </w:r>
      <w:r w:rsidR="006674A1">
        <w:rPr>
          <w:noProof/>
        </w:rPr>
        <w:t>1</w:t>
      </w:r>
      <w:r w:rsidR="00896579">
        <w:rPr>
          <w:noProof/>
        </w:rPr>
        <w:fldChar w:fldCharType="end"/>
      </w:r>
      <w:r w:rsidRPr="001555C8">
        <w:t>:</w:t>
      </w:r>
      <w:r w:rsidRPr="001555C8">
        <w:tab/>
        <w:t>Schematische Gegenüberstellung der Voll- und der Teilkapitalisierung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6"/>
      </w:tblGrid>
      <w:tr w:rsidR="000A4E83" w:rsidRPr="001555C8" w:rsidTr="00136217">
        <w:trPr>
          <w:tblHeader/>
        </w:trPr>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80678E">
            <w:pPr>
              <w:pStyle w:val="Textkrper"/>
              <w:spacing w:before="120" w:after="120" w:line="240" w:lineRule="auto"/>
              <w:rPr>
                <w:b/>
                <w:sz w:val="18"/>
                <w:szCs w:val="18"/>
              </w:rPr>
            </w:pPr>
            <w:r w:rsidRPr="001555C8">
              <w:rPr>
                <w:b/>
                <w:sz w:val="18"/>
                <w:szCs w:val="18"/>
              </w:rPr>
              <w:t>Vollkapitalisierung</w:t>
            </w: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80678E">
            <w:pPr>
              <w:pStyle w:val="Textkrper"/>
              <w:spacing w:before="120" w:after="120" w:line="240" w:lineRule="auto"/>
              <w:rPr>
                <w:b/>
                <w:sz w:val="18"/>
                <w:szCs w:val="18"/>
              </w:rPr>
            </w:pPr>
            <w:r w:rsidRPr="001555C8">
              <w:rPr>
                <w:b/>
                <w:sz w:val="18"/>
                <w:szCs w:val="18"/>
              </w:rPr>
              <w:t>Teilkapitalisierung</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 xml:space="preserve">Staatsgarantie: </w:t>
            </w:r>
          </w:p>
          <w:p w:rsidR="000A4E83" w:rsidRPr="001555C8" w:rsidRDefault="000A4E83" w:rsidP="00D64D4D">
            <w:pPr>
              <w:pStyle w:val="Textkrper"/>
              <w:spacing w:before="60" w:after="60" w:line="260" w:lineRule="atLeast"/>
              <w:jc w:val="left"/>
              <w:rPr>
                <w:sz w:val="20"/>
              </w:rPr>
            </w:pPr>
            <w:r w:rsidRPr="001555C8">
              <w:rPr>
                <w:sz w:val="20"/>
              </w:rPr>
              <w:t>Keine</w:t>
            </w:r>
            <w:r w:rsidR="003A4CF6" w:rsidRPr="001555C8">
              <w:rPr>
                <w:sz w:val="20"/>
              </w:rPr>
              <w:t xml:space="preserve"> (falls bisher im System der gemischten Finanzierung: Wegfall erst, falls Wertschwa</w:t>
            </w:r>
            <w:r w:rsidR="003A4CF6" w:rsidRPr="001555C8">
              <w:rPr>
                <w:sz w:val="20"/>
              </w:rPr>
              <w:t>n</w:t>
            </w:r>
            <w:r w:rsidR="003A4CF6" w:rsidRPr="001555C8">
              <w:rPr>
                <w:sz w:val="20"/>
              </w:rPr>
              <w:t xml:space="preserve">kungsreserve vollumfänglich </w:t>
            </w:r>
            <w:proofErr w:type="spellStart"/>
            <w:r w:rsidR="003A4CF6" w:rsidRPr="001555C8">
              <w:rPr>
                <w:sz w:val="20"/>
              </w:rPr>
              <w:t>geäufnet</w:t>
            </w:r>
            <w:proofErr w:type="spellEnd"/>
            <w:r w:rsidR="003A4CF6" w:rsidRPr="001555C8">
              <w:rPr>
                <w:sz w:val="20"/>
              </w:rPr>
              <w:t>)</w:t>
            </w: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 xml:space="preserve">Staatsgarantie: </w:t>
            </w:r>
          </w:p>
          <w:p w:rsidR="000A4E83" w:rsidRPr="001555C8" w:rsidRDefault="000A4E83" w:rsidP="00D64D4D">
            <w:pPr>
              <w:pStyle w:val="Textkrper"/>
              <w:spacing w:before="60" w:after="60" w:line="260" w:lineRule="atLeast"/>
              <w:jc w:val="left"/>
              <w:rPr>
                <w:sz w:val="20"/>
              </w:rPr>
            </w:pPr>
            <w:r w:rsidRPr="001555C8">
              <w:rPr>
                <w:sz w:val="20"/>
              </w:rPr>
              <w:t>Voraussetzung, bis Vollkapitalisierung inkl. Wertschwankungsreserve erreicht ist</w:t>
            </w:r>
          </w:p>
          <w:p w:rsidR="000A4E83" w:rsidRPr="001555C8" w:rsidRDefault="000A4E83" w:rsidP="00D64D4D">
            <w:pPr>
              <w:pStyle w:val="Textkrper"/>
              <w:spacing w:before="60" w:after="60" w:line="260" w:lineRule="atLeast"/>
              <w:jc w:val="left"/>
              <w:rPr>
                <w:sz w:val="20"/>
              </w:rPr>
            </w:pPr>
            <w:r w:rsidRPr="001555C8">
              <w:rPr>
                <w:sz w:val="20"/>
              </w:rPr>
              <w:t>Garan</w:t>
            </w:r>
            <w:r w:rsidR="009D3BDF" w:rsidRPr="001555C8">
              <w:rPr>
                <w:sz w:val="20"/>
              </w:rPr>
              <w:t>tie des Teils zwischen Ausgangs</w:t>
            </w:r>
            <w:r w:rsidRPr="001555C8">
              <w:rPr>
                <w:sz w:val="20"/>
              </w:rPr>
              <w:t>d</w:t>
            </w:r>
            <w:r w:rsidRPr="001555C8">
              <w:rPr>
                <w:sz w:val="20"/>
              </w:rPr>
              <w:t>e</w:t>
            </w:r>
            <w:r w:rsidRPr="001555C8">
              <w:rPr>
                <w:sz w:val="20"/>
              </w:rPr>
              <w:t>ckungsgrad und 100%</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 xml:space="preserve">Deckungsgrad: </w:t>
            </w:r>
          </w:p>
          <w:p w:rsidR="000A4E83" w:rsidRPr="001555C8" w:rsidRDefault="000A4E83" w:rsidP="00D64D4D">
            <w:pPr>
              <w:pStyle w:val="Textkrper"/>
              <w:spacing w:before="60" w:after="60" w:line="260" w:lineRule="atLeast"/>
              <w:jc w:val="left"/>
              <w:rPr>
                <w:sz w:val="20"/>
              </w:rPr>
            </w:pPr>
            <w:r w:rsidRPr="001555C8">
              <w:rPr>
                <w:sz w:val="20"/>
              </w:rPr>
              <w:t>Ausweisen wie bisher (ein Deckungsgrad)</w:t>
            </w:r>
          </w:p>
          <w:p w:rsidR="000A4E83" w:rsidRPr="001555C8" w:rsidRDefault="000A4E83" w:rsidP="00D64D4D">
            <w:pPr>
              <w:pStyle w:val="Textkrper"/>
              <w:spacing w:before="60" w:after="60" w:line="260" w:lineRule="atLeast"/>
              <w:jc w:val="left"/>
              <w:rPr>
                <w:sz w:val="20"/>
              </w:rPr>
            </w:pPr>
            <w:r w:rsidRPr="001555C8">
              <w:rPr>
                <w:sz w:val="20"/>
              </w:rPr>
              <w:t xml:space="preserve">100% Deckungsgrad darf nicht unterschritten werden bzw. es sind </w:t>
            </w:r>
            <w:r w:rsidR="005856BC" w:rsidRPr="001555C8">
              <w:rPr>
                <w:sz w:val="20"/>
              </w:rPr>
              <w:t xml:space="preserve">im Bedarfsfall </w:t>
            </w:r>
            <w:r w:rsidRPr="001555C8">
              <w:rPr>
                <w:sz w:val="20"/>
              </w:rPr>
              <w:t>entsprechende Sanierungsmassnahmen zu ergreifen</w:t>
            </w:r>
          </w:p>
          <w:p w:rsidR="000A4E83" w:rsidRPr="001555C8" w:rsidRDefault="000A4E83" w:rsidP="00D64D4D">
            <w:pPr>
              <w:pStyle w:val="Textkrper"/>
              <w:spacing w:before="60" w:after="60" w:line="260" w:lineRule="atLeast"/>
              <w:jc w:val="left"/>
              <w:rPr>
                <w:sz w:val="20"/>
              </w:rPr>
            </w:pP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 xml:space="preserve">Deckungsgrad: </w:t>
            </w:r>
          </w:p>
          <w:p w:rsidR="005856BC" w:rsidRPr="001555C8" w:rsidRDefault="005856BC" w:rsidP="00D64D4D">
            <w:pPr>
              <w:pStyle w:val="Textkrper"/>
              <w:spacing w:before="60" w:after="60" w:line="260" w:lineRule="atLeast"/>
              <w:jc w:val="left"/>
              <w:rPr>
                <w:sz w:val="20"/>
              </w:rPr>
            </w:pPr>
            <w:r w:rsidRPr="001555C8">
              <w:rPr>
                <w:sz w:val="20"/>
              </w:rPr>
              <w:t>Zwei Deckungsgrade:</w:t>
            </w:r>
          </w:p>
          <w:p w:rsidR="005856BC" w:rsidRPr="001555C8" w:rsidRDefault="000A4E83" w:rsidP="005856BC">
            <w:pPr>
              <w:pStyle w:val="Textkrper"/>
              <w:numPr>
                <w:ilvl w:val="0"/>
                <w:numId w:val="29"/>
              </w:numPr>
              <w:spacing w:before="60" w:after="60" w:line="260" w:lineRule="atLeast"/>
              <w:jc w:val="left"/>
              <w:rPr>
                <w:sz w:val="20"/>
              </w:rPr>
            </w:pPr>
            <w:r w:rsidRPr="001555C8">
              <w:rPr>
                <w:sz w:val="20"/>
              </w:rPr>
              <w:t xml:space="preserve">Globaler </w:t>
            </w:r>
            <w:r w:rsidR="005856BC" w:rsidRPr="001555C8">
              <w:rPr>
                <w:sz w:val="20"/>
              </w:rPr>
              <w:t>Deckungsgrad</w:t>
            </w:r>
          </w:p>
          <w:p w:rsidR="000A4E83" w:rsidRPr="001555C8" w:rsidRDefault="005856BC" w:rsidP="005856BC">
            <w:pPr>
              <w:pStyle w:val="Textkrper"/>
              <w:numPr>
                <w:ilvl w:val="0"/>
                <w:numId w:val="29"/>
              </w:numPr>
              <w:spacing w:before="60" w:after="60" w:line="260" w:lineRule="atLeast"/>
              <w:jc w:val="left"/>
              <w:rPr>
                <w:sz w:val="20"/>
              </w:rPr>
            </w:pPr>
            <w:r w:rsidRPr="001555C8">
              <w:rPr>
                <w:sz w:val="20"/>
              </w:rPr>
              <w:t>D</w:t>
            </w:r>
            <w:r w:rsidR="000A4E83" w:rsidRPr="001555C8">
              <w:rPr>
                <w:sz w:val="20"/>
              </w:rPr>
              <w:t xml:space="preserve">erjenige für die aktiven Versicherten, nachdem die Rentenbeziehenden auf 100% gestellt sind (somit beläuft sich der Grad für die aktiven Versicherten zu Beginn auf unter 100%) </w:t>
            </w:r>
          </w:p>
          <w:p w:rsidR="000A4E83" w:rsidRPr="001555C8" w:rsidRDefault="005856BC" w:rsidP="00D64D4D">
            <w:pPr>
              <w:pStyle w:val="Textkrper"/>
              <w:spacing w:before="60" w:after="60" w:line="260" w:lineRule="atLeast"/>
              <w:jc w:val="left"/>
              <w:rPr>
                <w:sz w:val="20"/>
              </w:rPr>
            </w:pPr>
            <w:r w:rsidRPr="001555C8">
              <w:rPr>
                <w:sz w:val="20"/>
              </w:rPr>
              <w:t xml:space="preserve">Die </w:t>
            </w:r>
            <w:r w:rsidR="000A4E83" w:rsidRPr="001555C8">
              <w:rPr>
                <w:sz w:val="20"/>
              </w:rPr>
              <w:t>Ausgangsdeckungsgrade dürfen nicht unterschritten werden</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Sanierungsmassnahmen:</w:t>
            </w:r>
          </w:p>
          <w:p w:rsidR="000A4E83" w:rsidRPr="001555C8" w:rsidRDefault="00D64D4D" w:rsidP="00D64D4D">
            <w:pPr>
              <w:pStyle w:val="Textkrper"/>
              <w:spacing w:before="60" w:after="60" w:line="260" w:lineRule="atLeast"/>
              <w:jc w:val="left"/>
              <w:rPr>
                <w:sz w:val="20"/>
              </w:rPr>
            </w:pPr>
            <w:r w:rsidRPr="001555C8">
              <w:rPr>
                <w:sz w:val="20"/>
              </w:rPr>
              <w:t xml:space="preserve">Bei </w:t>
            </w:r>
            <w:r w:rsidR="000A4E83" w:rsidRPr="001555C8">
              <w:rPr>
                <w:sz w:val="20"/>
              </w:rPr>
              <w:t xml:space="preserve">Unterschreiten </w:t>
            </w:r>
            <w:r w:rsidR="0086459B" w:rsidRPr="001555C8">
              <w:rPr>
                <w:sz w:val="20"/>
              </w:rPr>
              <w:t xml:space="preserve">von </w:t>
            </w:r>
            <w:r w:rsidR="000A4E83" w:rsidRPr="001555C8">
              <w:rPr>
                <w:sz w:val="20"/>
              </w:rPr>
              <w:t>100% Deckungsgrad</w:t>
            </w: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Sanierungsmassnahmen:</w:t>
            </w:r>
          </w:p>
          <w:p w:rsidR="000A4E83" w:rsidRPr="001555C8" w:rsidRDefault="00D64D4D" w:rsidP="00D64D4D">
            <w:pPr>
              <w:pStyle w:val="Textkrper"/>
              <w:spacing w:before="60" w:after="60" w:line="260" w:lineRule="atLeast"/>
              <w:jc w:val="left"/>
              <w:rPr>
                <w:sz w:val="20"/>
              </w:rPr>
            </w:pPr>
            <w:r w:rsidRPr="001555C8">
              <w:rPr>
                <w:sz w:val="20"/>
              </w:rPr>
              <w:t xml:space="preserve">Bei </w:t>
            </w:r>
            <w:r w:rsidR="000A4E83" w:rsidRPr="001555C8">
              <w:rPr>
                <w:sz w:val="20"/>
              </w:rPr>
              <w:t>Unterschreiten der Ausgangsdeckungsgrade sowie bei Abweichen vom Finanzierungsplan auf den Zieldeckungsgrad</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Aufsicht:</w:t>
            </w:r>
          </w:p>
          <w:p w:rsidR="000A4E83" w:rsidRPr="001555C8" w:rsidRDefault="003A4CF6" w:rsidP="00D64D4D">
            <w:pPr>
              <w:pStyle w:val="Textkrper"/>
              <w:spacing w:before="60" w:after="60" w:line="260" w:lineRule="atLeast"/>
              <w:jc w:val="left"/>
              <w:rPr>
                <w:sz w:val="20"/>
              </w:rPr>
            </w:pPr>
            <w:r w:rsidRPr="001555C8">
              <w:rPr>
                <w:sz w:val="20"/>
              </w:rPr>
              <w:t>Aufgaben gemäss Bundesrecht</w:t>
            </w: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Aufsicht:</w:t>
            </w:r>
          </w:p>
          <w:p w:rsidR="003A4CF6" w:rsidRPr="001555C8" w:rsidRDefault="003A4CF6" w:rsidP="00D64D4D">
            <w:pPr>
              <w:pStyle w:val="Textkrper"/>
              <w:spacing w:before="60" w:after="60" w:line="260" w:lineRule="atLeast"/>
              <w:jc w:val="left"/>
              <w:rPr>
                <w:sz w:val="20"/>
              </w:rPr>
            </w:pPr>
            <w:r w:rsidRPr="001555C8">
              <w:rPr>
                <w:sz w:val="20"/>
              </w:rPr>
              <w:t>Aufgaben gemäss Bundesrecht; zusätzlich</w:t>
            </w:r>
          </w:p>
          <w:p w:rsidR="000A4E83" w:rsidRPr="001555C8" w:rsidRDefault="000A4E83" w:rsidP="005856BC">
            <w:pPr>
              <w:pStyle w:val="Textkrper"/>
              <w:numPr>
                <w:ilvl w:val="0"/>
                <w:numId w:val="30"/>
              </w:numPr>
              <w:spacing w:before="60" w:after="60" w:line="260" w:lineRule="atLeast"/>
              <w:ind w:left="357" w:hanging="284"/>
              <w:jc w:val="left"/>
              <w:rPr>
                <w:sz w:val="20"/>
              </w:rPr>
            </w:pPr>
            <w:r w:rsidRPr="001555C8">
              <w:rPr>
                <w:sz w:val="20"/>
              </w:rPr>
              <w:t>Genehmigt Führung der Kasse im teilkapitalisierten Verfahren</w:t>
            </w:r>
          </w:p>
          <w:p w:rsidR="000A4E83" w:rsidRPr="001555C8" w:rsidRDefault="000A4E83" w:rsidP="005856BC">
            <w:pPr>
              <w:pStyle w:val="Textkrper"/>
              <w:numPr>
                <w:ilvl w:val="0"/>
                <w:numId w:val="30"/>
              </w:numPr>
              <w:spacing w:before="60" w:after="60" w:line="260" w:lineRule="atLeast"/>
              <w:ind w:left="357" w:hanging="284"/>
              <w:jc w:val="left"/>
              <w:rPr>
                <w:sz w:val="20"/>
              </w:rPr>
            </w:pPr>
            <w:r w:rsidRPr="001555C8">
              <w:rPr>
                <w:sz w:val="20"/>
              </w:rPr>
              <w:t>Genehmigt Finanzierungsplan</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Vorteil:</w:t>
            </w:r>
          </w:p>
          <w:p w:rsidR="000A4E83" w:rsidRPr="001555C8" w:rsidRDefault="000A4E83" w:rsidP="00D64D4D">
            <w:pPr>
              <w:pStyle w:val="Textkrper"/>
              <w:spacing w:before="60" w:after="60" w:line="260" w:lineRule="atLeast"/>
              <w:jc w:val="left"/>
              <w:rPr>
                <w:sz w:val="20"/>
              </w:rPr>
            </w:pPr>
            <w:r w:rsidRPr="001555C8">
              <w:rPr>
                <w:sz w:val="20"/>
              </w:rPr>
              <w:t xml:space="preserve">Keine Abhängigkeit von der </w:t>
            </w:r>
            <w:proofErr w:type="spellStart"/>
            <w:r w:rsidRPr="001555C8">
              <w:rPr>
                <w:sz w:val="20"/>
              </w:rPr>
              <w:t>Bestandesstruktur</w:t>
            </w:r>
            <w:proofErr w:type="spellEnd"/>
            <w:r w:rsidRPr="001555C8">
              <w:rPr>
                <w:sz w:val="20"/>
              </w:rPr>
              <w:t xml:space="preserve"> (Aktive – Rentenbeziehende), sofern die "richtigen" technischen Parameter gewählt werden (technischer Zinssatz etc.)</w:t>
            </w:r>
          </w:p>
          <w:p w:rsidR="000A4E83" w:rsidRPr="001555C8" w:rsidRDefault="000A4E83" w:rsidP="00D64D4D">
            <w:pPr>
              <w:pStyle w:val="Textkrper"/>
              <w:spacing w:before="60" w:after="60" w:line="260" w:lineRule="atLeast"/>
              <w:jc w:val="left"/>
              <w:rPr>
                <w:sz w:val="20"/>
              </w:rPr>
            </w:pPr>
            <w:r w:rsidRPr="001555C8">
              <w:rPr>
                <w:sz w:val="20"/>
              </w:rPr>
              <w:t>Klare Verhältnisse: Gleiche Stellung wie eine privatrechtliche Stiftung</w:t>
            </w:r>
          </w:p>
          <w:p w:rsidR="00DC4E3B" w:rsidRPr="001555C8" w:rsidRDefault="00DC4E3B" w:rsidP="00D64D4D">
            <w:pPr>
              <w:pStyle w:val="Textkrper"/>
              <w:spacing w:before="60" w:after="60" w:line="260" w:lineRule="atLeast"/>
              <w:jc w:val="left"/>
              <w:rPr>
                <w:sz w:val="20"/>
              </w:rPr>
            </w:pP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Vorteil:</w:t>
            </w:r>
          </w:p>
          <w:p w:rsidR="000A4E83" w:rsidRPr="001555C8" w:rsidRDefault="000A4E83" w:rsidP="00D64D4D">
            <w:pPr>
              <w:pStyle w:val="Textkrper"/>
              <w:spacing w:before="60" w:after="60" w:line="260" w:lineRule="atLeast"/>
              <w:jc w:val="left"/>
              <w:rPr>
                <w:sz w:val="20"/>
              </w:rPr>
            </w:pPr>
            <w:r w:rsidRPr="001555C8">
              <w:rPr>
                <w:sz w:val="20"/>
              </w:rPr>
              <w:t>Keine einmalige hohe Kapitalkosten</w:t>
            </w:r>
            <w:r w:rsidR="00604C9A" w:rsidRPr="001555C8">
              <w:rPr>
                <w:sz w:val="20"/>
              </w:rPr>
              <w:t xml:space="preserve"> mit </w:t>
            </w:r>
            <w:r w:rsidR="00F07BBE" w:rsidRPr="001555C8">
              <w:rPr>
                <w:sz w:val="20"/>
              </w:rPr>
              <w:t>entsprechendem</w:t>
            </w:r>
            <w:r w:rsidR="00604C9A" w:rsidRPr="001555C8">
              <w:rPr>
                <w:sz w:val="20"/>
              </w:rPr>
              <w:t xml:space="preserve"> Sanierungsbedarf</w:t>
            </w:r>
          </w:p>
          <w:p w:rsidR="000A4E83" w:rsidRPr="001555C8" w:rsidRDefault="000A4E83" w:rsidP="00D64D4D">
            <w:pPr>
              <w:pStyle w:val="Textkrper"/>
              <w:spacing w:before="60" w:after="60" w:line="260" w:lineRule="atLeast"/>
              <w:jc w:val="left"/>
              <w:rPr>
                <w:sz w:val="20"/>
              </w:rPr>
            </w:pPr>
            <w:r w:rsidRPr="001555C8">
              <w:rPr>
                <w:sz w:val="20"/>
              </w:rPr>
              <w:t>Mit Deckungsgrad von 80% Mindestziel erreicht, danach ist gesetzlich nur noch dieser Grad sicherzustellen</w:t>
            </w:r>
          </w:p>
        </w:tc>
      </w:tr>
      <w:tr w:rsidR="000A4E83" w:rsidRPr="001555C8" w:rsidTr="00136217">
        <w:tc>
          <w:tcPr>
            <w:tcW w:w="4605"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Nachteil:</w:t>
            </w:r>
          </w:p>
          <w:p w:rsidR="000A4E83" w:rsidRPr="001555C8" w:rsidRDefault="000A4E83" w:rsidP="00D64D4D">
            <w:pPr>
              <w:pStyle w:val="Textkrper"/>
              <w:spacing w:before="60" w:after="60" w:line="260" w:lineRule="atLeast"/>
              <w:jc w:val="left"/>
              <w:rPr>
                <w:sz w:val="20"/>
              </w:rPr>
            </w:pPr>
            <w:r w:rsidRPr="001555C8">
              <w:rPr>
                <w:sz w:val="20"/>
              </w:rPr>
              <w:t>Einmalig hohe Kostenbelastung, insbesondere wenn die Pensionskasse auf gesunde Füsse gestellt werden soll (Finanzierung einer Wertschwankungsreserve); oder alternativ</w:t>
            </w:r>
          </w:p>
          <w:p w:rsidR="000A4E83" w:rsidRPr="001555C8" w:rsidRDefault="000A4E83" w:rsidP="00D64D4D">
            <w:pPr>
              <w:pStyle w:val="Textkrper"/>
              <w:spacing w:before="60" w:after="60" w:line="260" w:lineRule="atLeast"/>
              <w:jc w:val="left"/>
              <w:rPr>
                <w:sz w:val="20"/>
              </w:rPr>
            </w:pPr>
            <w:r w:rsidRPr="001555C8">
              <w:rPr>
                <w:sz w:val="20"/>
              </w:rPr>
              <w:t xml:space="preserve">Möglicherweise lange Sanierungsdauer und damit unattraktive Pensionskasse für die Versicherten, wenn Kasse mittels Sanierungsmassnahmen ohne Einlage oder Schuldanerkennung des </w:t>
            </w:r>
            <w:proofErr w:type="spellStart"/>
            <w:r w:rsidRPr="001555C8">
              <w:rPr>
                <w:sz w:val="20"/>
              </w:rPr>
              <w:t>Arbeitgebenden</w:t>
            </w:r>
            <w:proofErr w:type="spellEnd"/>
            <w:r w:rsidRPr="001555C8">
              <w:rPr>
                <w:sz w:val="20"/>
              </w:rPr>
              <w:t xml:space="preserve"> die 100% plus Wertschwankungsreserve erreichen soll</w:t>
            </w:r>
          </w:p>
        </w:tc>
        <w:tc>
          <w:tcPr>
            <w:tcW w:w="4606" w:type="dxa"/>
            <w:tcBorders>
              <w:top w:val="single" w:sz="4" w:space="0" w:color="auto"/>
              <w:left w:val="single" w:sz="4" w:space="0" w:color="auto"/>
              <w:bottom w:val="single" w:sz="4" w:space="0" w:color="auto"/>
              <w:right w:val="single" w:sz="4" w:space="0" w:color="auto"/>
            </w:tcBorders>
          </w:tcPr>
          <w:p w:rsidR="000A4E83" w:rsidRPr="001555C8" w:rsidRDefault="000A4E83" w:rsidP="00D64D4D">
            <w:pPr>
              <w:pStyle w:val="Textkrper"/>
              <w:spacing w:before="60" w:after="60" w:line="260" w:lineRule="atLeast"/>
              <w:jc w:val="left"/>
              <w:rPr>
                <w:i/>
                <w:sz w:val="20"/>
              </w:rPr>
            </w:pPr>
            <w:r w:rsidRPr="001555C8">
              <w:rPr>
                <w:i/>
                <w:sz w:val="20"/>
              </w:rPr>
              <w:t>Nachteil:</w:t>
            </w:r>
          </w:p>
          <w:p w:rsidR="000A4E83" w:rsidRPr="001555C8" w:rsidRDefault="000A4E83" w:rsidP="00D64D4D">
            <w:pPr>
              <w:pStyle w:val="Textkrper"/>
              <w:spacing w:before="60" w:after="60" w:line="260" w:lineRule="atLeast"/>
              <w:jc w:val="left"/>
              <w:rPr>
                <w:sz w:val="20"/>
              </w:rPr>
            </w:pPr>
            <w:r w:rsidRPr="001555C8">
              <w:rPr>
                <w:sz w:val="20"/>
              </w:rPr>
              <w:t xml:space="preserve">Nur </w:t>
            </w:r>
            <w:r w:rsidR="00CF07E0" w:rsidRPr="001555C8">
              <w:rPr>
                <w:sz w:val="20"/>
              </w:rPr>
              <w:t>Stadt</w:t>
            </w:r>
            <w:r w:rsidRPr="001555C8">
              <w:rPr>
                <w:sz w:val="20"/>
              </w:rPr>
              <w:t xml:space="preserve"> und Gemeinden sind garantiefähig; </w:t>
            </w:r>
            <w:r w:rsidR="00604C9A" w:rsidRPr="001555C8">
              <w:rPr>
                <w:sz w:val="20"/>
              </w:rPr>
              <w:t>offene</w:t>
            </w:r>
            <w:r w:rsidRPr="001555C8">
              <w:rPr>
                <w:sz w:val="20"/>
              </w:rPr>
              <w:t xml:space="preserve"> Frage, wer die notwendige Garantie mit Kostenfolgen bei Teilliquidationen für die restlichen </w:t>
            </w:r>
            <w:r w:rsidR="00466C1D" w:rsidRPr="001555C8">
              <w:rPr>
                <w:sz w:val="20"/>
              </w:rPr>
              <w:t>angeschlossenen Körperschaften</w:t>
            </w:r>
            <w:r w:rsidRPr="001555C8">
              <w:rPr>
                <w:sz w:val="20"/>
              </w:rPr>
              <w:t xml:space="preserve"> übernimmt</w:t>
            </w:r>
          </w:p>
          <w:p w:rsidR="000A4E83" w:rsidRPr="001555C8" w:rsidRDefault="000A4E83" w:rsidP="00D574EE">
            <w:pPr>
              <w:pStyle w:val="Textkrper"/>
              <w:spacing w:before="60" w:after="60" w:line="260" w:lineRule="atLeast"/>
              <w:jc w:val="left"/>
              <w:rPr>
                <w:sz w:val="20"/>
              </w:rPr>
            </w:pPr>
            <w:r w:rsidRPr="001555C8">
              <w:rPr>
                <w:sz w:val="20"/>
              </w:rPr>
              <w:t>Anfälligkeit auf demographische Veränderungen innerhalb der Kasse, da Rentenbeziehende immer zu 100% zurückgestellt sein müssen; Verschlechterung des Aktiven – Rentnerverhäl</w:t>
            </w:r>
            <w:r w:rsidRPr="001555C8">
              <w:rPr>
                <w:sz w:val="20"/>
              </w:rPr>
              <w:t>t</w:t>
            </w:r>
            <w:r w:rsidRPr="001555C8">
              <w:rPr>
                <w:sz w:val="20"/>
              </w:rPr>
              <w:t>nisses führt zu erhöhtem Umlagebeitrag und somit zur Verteuerung der laufenden Finanzierung</w:t>
            </w:r>
          </w:p>
        </w:tc>
      </w:tr>
    </w:tbl>
    <w:p w:rsidR="007C1291" w:rsidRPr="001555C8" w:rsidRDefault="00E406D8" w:rsidP="007C1291">
      <w:pPr>
        <w:pStyle w:val="berschrift3"/>
      </w:pPr>
      <w:bookmarkStart w:id="38" w:name="_Ref345672549"/>
      <w:bookmarkStart w:id="39" w:name="_Toc358786189"/>
      <w:r w:rsidRPr="001555C8">
        <w:t>Empfehlung</w:t>
      </w:r>
      <w:r w:rsidR="007C1291" w:rsidRPr="001555C8">
        <w:t xml:space="preserve"> des Systems einer Teilkapitalisierung</w:t>
      </w:r>
      <w:bookmarkEnd w:id="38"/>
      <w:bookmarkEnd w:id="39"/>
    </w:p>
    <w:p w:rsidR="000A4E83" w:rsidRPr="001555C8" w:rsidRDefault="000A4E83" w:rsidP="000A4E83">
      <w:pPr>
        <w:pStyle w:val="Textkrper"/>
      </w:pPr>
      <w:r w:rsidRPr="001555C8">
        <w:t xml:space="preserve">Der Vorteil eines Systems der Teilkapitalisierung für öffentlich-rechtliche Pensionskassen liegt also in den für die öffentliche Hand weniger hohen Sanierungsanforderungen, da nur bis auf 80% Deckungsgrad ausfinanziert werden muss. Unter gewissen Bedingungen ist die Finanzierung der laufenden Rentenansprüche trotz fehlendem Vermögensertrag gesichert. </w:t>
      </w:r>
    </w:p>
    <w:p w:rsidR="00FA41A2" w:rsidRPr="001555C8" w:rsidRDefault="00FA41A2" w:rsidP="000A4E83">
      <w:pPr>
        <w:pStyle w:val="Textkrper"/>
      </w:pPr>
    </w:p>
    <w:p w:rsidR="007C1291" w:rsidRPr="001555C8" w:rsidRDefault="007C1291" w:rsidP="007C1291">
      <w:pPr>
        <w:pStyle w:val="Textkrper"/>
      </w:pPr>
      <w:r w:rsidRPr="001555C8">
        <w:t>Bei Unterschreitung des Ausgangsdeckungsgrads müssen von Gesetzes wegen Sanierungsmassnahmen geprüft und allenfalls angewendet werden. Da das Vermögen den Schwankungen des Kapitalmarkts und der Ausgangsdeckungsgrad für die aktiven Versicherten der "Kassendemographie" ausgesetzt ist, sollen eine Wertschwankungs- und/oder eine Umlage</w:t>
      </w:r>
      <w:r w:rsidR="0047739C" w:rsidRPr="001555C8">
        <w:t>schwankungs</w:t>
      </w:r>
      <w:r w:rsidRPr="001555C8">
        <w:t>reserve verhindern, dass bereits kurz nach Einführung nebst den Beiträgen des Finanzierungsplans zusätzlich Sanierungsbeiträge zu erheben sind.</w:t>
      </w:r>
    </w:p>
    <w:p w:rsidR="007C1291" w:rsidRPr="001555C8" w:rsidRDefault="007C1291" w:rsidP="007C1291">
      <w:pPr>
        <w:pStyle w:val="Textkrper"/>
      </w:pPr>
    </w:p>
    <w:p w:rsidR="007C1291" w:rsidRPr="001555C8" w:rsidRDefault="007C1291" w:rsidP="007C1291">
      <w:pPr>
        <w:pStyle w:val="Textkrper"/>
      </w:pPr>
      <w:r w:rsidRPr="001555C8">
        <w:t>Aus Sicht der</w:t>
      </w:r>
      <w:r w:rsidR="00D574EE" w:rsidRPr="001555C8">
        <w:t xml:space="preserve"> </w:t>
      </w:r>
      <w:proofErr w:type="spellStart"/>
      <w:r w:rsidR="00D574EE" w:rsidRPr="001555C8">
        <w:t>Arbeitnehmenden</w:t>
      </w:r>
      <w:proofErr w:type="spellEnd"/>
      <w:r w:rsidR="00D574EE" w:rsidRPr="001555C8">
        <w:t xml:space="preserve"> </w:t>
      </w:r>
      <w:r w:rsidRPr="001555C8">
        <w:t xml:space="preserve">sind somit möglichst hohe Reserven und </w:t>
      </w:r>
      <w:proofErr w:type="spellStart"/>
      <w:r w:rsidRPr="001555C8">
        <w:t>vice</w:t>
      </w:r>
      <w:proofErr w:type="spellEnd"/>
      <w:r w:rsidRPr="001555C8">
        <w:t xml:space="preserve"> </w:t>
      </w:r>
      <w:proofErr w:type="spellStart"/>
      <w:r w:rsidRPr="001555C8">
        <w:t>versa</w:t>
      </w:r>
      <w:proofErr w:type="spellEnd"/>
      <w:r w:rsidRPr="001555C8">
        <w:t xml:space="preserve"> tiefe Ausgangsdeckungsgrade anzustreben, da damit einerseits die Staatsgarantie (= Teil über Ausgangsdeckungsgrad) höher ausfällt und andererseits die Wahrscheinlichkeit, von Sanierungsmassnahmen betroffen zu werden (Minderverzinsung und/oder Sanierungsbe</w:t>
      </w:r>
      <w:r w:rsidRPr="001555C8">
        <w:t>i</w:t>
      </w:r>
      <w:r w:rsidRPr="001555C8">
        <w:t>träge) verringert wird. Aus Sicht des Arbeitgebers verhält es sich wohl eher umgekehrt: Bei einer Teilliquidation muss der Arbeitgeber die fehlenden Mittel, ausser für denjenigen Teil, der unter dem Ausgangsdeckungsgrad liegt, wegen der Staatsgarantie an die austretenden Versicherten leisten. Somit dürfte aus seiner Sicht eher ein hoher Ausgangsdeckungsgrad erwünscht sein.</w:t>
      </w:r>
    </w:p>
    <w:p w:rsidR="007C1291" w:rsidRPr="001555C8" w:rsidRDefault="007C1291" w:rsidP="007C1291">
      <w:pPr>
        <w:pStyle w:val="Textkrper"/>
      </w:pPr>
    </w:p>
    <w:p w:rsidR="00450A3E" w:rsidRPr="001555C8" w:rsidRDefault="007C1291" w:rsidP="00466C1D">
      <w:pPr>
        <w:pStyle w:val="Textkrper"/>
      </w:pPr>
      <w:r w:rsidRPr="001555C8">
        <w:t>Das neue Bundesrecht ist in einigen Punkten unklar. Umstritten ist z.B. die Frage, ob auch bei Absinken eines Deckungsgrads, welcher aber noch immer über dem Ausgangsd</w:t>
      </w:r>
      <w:r w:rsidRPr="001555C8">
        <w:t>e</w:t>
      </w:r>
      <w:r w:rsidRPr="001555C8">
        <w:t>ckungsgrad liegt, Sanierungsmassnahmen ergriffen werden dürfen. Denn Art. 72a Abs. 2 verlangt, dass der Finanzierungsplan die Einhaltung der bestehenden Deckungsgrade gewährleistet – das BSV spricht in diesem Zusammenhang vom Zahnradsystem, d.h. der Deckungsgrad darf sich im Grundsatz nur erhöhen. Art. 72e BVG wird nun von einigen Vorsorgespezialisten so interpretiert, dass Sanierungsmassnahmen nur bei einer Unterschreitung der Ausgangsdeckungsgrade vorgesehen seien und deshalb nicht klar sei, mit welchen Massnahmen das Zahnradsystem umgesetzt werden könne. Eine Lösung könnte sein, dass der Finanzierungsplan eine solche implizite Sanierung bereits berücksichtigt.</w:t>
      </w:r>
      <w:r w:rsidR="00450A3E" w:rsidRPr="001555C8">
        <w:br w:type="page"/>
      </w:r>
    </w:p>
    <w:p w:rsidR="007C1291" w:rsidRPr="001555C8" w:rsidRDefault="007C1291" w:rsidP="007C1291">
      <w:pPr>
        <w:pStyle w:val="Textkrper"/>
      </w:pPr>
      <w:r w:rsidRPr="001555C8">
        <w:t>Diese bundesrechtliche Unklarheit lässt sich dadurch beseitigen, dass der globale Ausgangsdeckungsgrad beim Start mindestens 80% beträgt beziehungsweise eine gesetzliche Sanierungspflicht bei einem Ausgangsdeckungsgrad von unter 80% verankert wird. Damit entfällt auch die Pflicht, der Aufsicht alle 5 Jahre einen Finanzierungsplan unterbreiten zu müssen, der aufzeigt, wie man die 80% erreicht.</w:t>
      </w:r>
    </w:p>
    <w:p w:rsidR="007C1291" w:rsidRPr="001555C8" w:rsidRDefault="007C1291" w:rsidP="000A4E83">
      <w:pPr>
        <w:pStyle w:val="Textkrper"/>
      </w:pPr>
    </w:p>
    <w:p w:rsidR="00FA41A2" w:rsidRPr="001555C8" w:rsidRDefault="000A4E83" w:rsidP="000A4E83">
      <w:pPr>
        <w:pStyle w:val="Textkrper"/>
      </w:pPr>
      <w:r w:rsidRPr="001555C8">
        <w:t xml:space="preserve">Die im Kapitel </w:t>
      </w:r>
      <w:fldSimple w:instr=" REF _Ref336853226 \r \h  \* MERGEFORMAT ">
        <w:r w:rsidR="006674A1">
          <w:t>6</w:t>
        </w:r>
      </w:fldSimple>
      <w:r w:rsidR="00623346" w:rsidRPr="001555C8">
        <w:t xml:space="preserve"> </w:t>
      </w:r>
      <w:r w:rsidRPr="001555C8">
        <w:t xml:space="preserve">beschriebenen Auswirkungen einer Senkung des technischen Zinssatzes führen </w:t>
      </w:r>
      <w:r w:rsidR="00FA41A2" w:rsidRPr="001555C8">
        <w:t>bereits</w:t>
      </w:r>
      <w:r w:rsidRPr="001555C8">
        <w:t xml:space="preserve"> zu Leistungskürzungen. </w:t>
      </w:r>
      <w:r w:rsidR="00FA41A2" w:rsidRPr="001555C8">
        <w:t xml:space="preserve">Sollte die Deckungslücke vollumfänglich ausfinanziert und der Kasse zumindest teilweise noch eine Wertschwankungsreserve mitgegeben werden, damit ein Einbruch der Kapitalmärkte aufgefangen werden kann und nicht sofort saniert werden muss, wären beachtliche zusätzliche Mittel aufzuwenden. </w:t>
      </w:r>
      <w:r w:rsidR="00A328D4" w:rsidRPr="001555C8">
        <w:t xml:space="preserve">Ausserdem zeigen die bisher publizierten Mitteilungen der Oberaufsichtskommission Nr. 4 und 5, dass bei Kassen, die </w:t>
      </w:r>
      <w:r w:rsidR="0086459B" w:rsidRPr="001555C8">
        <w:t>vom heutigen</w:t>
      </w:r>
      <w:r w:rsidR="00A328D4" w:rsidRPr="001555C8">
        <w:t xml:space="preserve"> System der gemischten Finanzierung </w:t>
      </w:r>
      <w:r w:rsidR="0086459B" w:rsidRPr="001555C8">
        <w:t>mit</w:t>
      </w:r>
      <w:r w:rsidR="00A328D4" w:rsidRPr="001555C8">
        <w:t xml:space="preserve"> Staatsgarantie in das System der Vollkapitalisierung wechseln, die</w:t>
      </w:r>
      <w:r w:rsidR="00895CEF" w:rsidRPr="001555C8">
        <w:t xml:space="preserve"> </w:t>
      </w:r>
      <w:proofErr w:type="spellStart"/>
      <w:r w:rsidR="00895CEF" w:rsidRPr="001555C8">
        <w:t>Arbeitnehmenden</w:t>
      </w:r>
      <w:proofErr w:type="spellEnd"/>
      <w:r w:rsidR="00A328D4" w:rsidRPr="001555C8">
        <w:t xml:space="preserve"> aufgrund von Treu und Glauben nur zurückhaltend an einer Sanierung beteiligt werden können, sodass die Kostenbelastung für den Arbeitgeber sehr hoch ausfallen wird. </w:t>
      </w:r>
    </w:p>
    <w:p w:rsidR="00FA41A2" w:rsidRPr="001555C8" w:rsidRDefault="00FA41A2" w:rsidP="000A4E83">
      <w:pPr>
        <w:pStyle w:val="Textkrper"/>
      </w:pPr>
    </w:p>
    <w:p w:rsidR="002B470E" w:rsidRPr="001555C8" w:rsidRDefault="000A4E83" w:rsidP="000A4E83">
      <w:pPr>
        <w:pStyle w:val="Textkrper"/>
        <w:rPr>
          <w:strike/>
        </w:rPr>
      </w:pPr>
      <w:r w:rsidRPr="001555C8">
        <w:t xml:space="preserve">Aus </w:t>
      </w:r>
      <w:r w:rsidR="007C1291" w:rsidRPr="001555C8">
        <w:t xml:space="preserve">all </w:t>
      </w:r>
      <w:r w:rsidRPr="001555C8">
        <w:t xml:space="preserve">diesen Gründen </w:t>
      </w:r>
      <w:r w:rsidR="00A328D4" w:rsidRPr="001555C8">
        <w:t>sieht diese Vorlage die Variante der Teilkapitalisierung</w:t>
      </w:r>
      <w:r w:rsidR="00BC0DBB" w:rsidRPr="001555C8">
        <w:t xml:space="preserve"> mit einem Ausgangsdeckungsgrad von 80% und zusätzlich</w:t>
      </w:r>
      <w:r w:rsidR="00A328D4" w:rsidRPr="001555C8">
        <w:t xml:space="preserve"> </w:t>
      </w:r>
      <w:r w:rsidR="00043173" w:rsidRPr="001555C8">
        <w:t xml:space="preserve">einer </w:t>
      </w:r>
      <w:r w:rsidR="0047739C" w:rsidRPr="001555C8">
        <w:rPr>
          <w:lang w:eastAsia="de-CH"/>
        </w:rPr>
        <w:t>Wertschwankungs- und Umlage</w:t>
      </w:r>
      <w:r w:rsidR="00BE04B2" w:rsidRPr="001555C8">
        <w:rPr>
          <w:lang w:eastAsia="de-CH"/>
        </w:rPr>
        <w:t>-</w:t>
      </w:r>
      <w:proofErr w:type="spellStart"/>
      <w:r w:rsidR="0047739C" w:rsidRPr="001555C8">
        <w:rPr>
          <w:lang w:eastAsia="de-CH"/>
        </w:rPr>
        <w:t>schwankungsreserve</w:t>
      </w:r>
      <w:proofErr w:type="spellEnd"/>
      <w:r w:rsidR="00043173" w:rsidRPr="001555C8">
        <w:t xml:space="preserve"> von 20%</w:t>
      </w:r>
      <w:r w:rsidR="00BC0DBB" w:rsidRPr="001555C8">
        <w:t xml:space="preserve"> der Verbindlichkeiten</w:t>
      </w:r>
      <w:r w:rsidR="00043173" w:rsidRPr="001555C8">
        <w:t xml:space="preserve"> vor</w:t>
      </w:r>
      <w:r w:rsidRPr="001555C8">
        <w:t>.</w:t>
      </w:r>
      <w:r w:rsidR="00043173" w:rsidRPr="001555C8">
        <w:t xml:space="preserve"> </w:t>
      </w:r>
    </w:p>
    <w:p w:rsidR="000A4E83" w:rsidRPr="001555C8" w:rsidRDefault="00136217" w:rsidP="00C3664B">
      <w:pPr>
        <w:pStyle w:val="berschrift1"/>
        <w:numPr>
          <w:ilvl w:val="0"/>
          <w:numId w:val="2"/>
        </w:numPr>
        <w:tabs>
          <w:tab w:val="clear" w:pos="567"/>
          <w:tab w:val="left" w:pos="992"/>
        </w:tabs>
      </w:pPr>
      <w:bookmarkStart w:id="40" w:name="_Toc328050162"/>
      <w:r w:rsidRPr="001555C8">
        <w:br w:type="page"/>
      </w:r>
      <w:bookmarkStart w:id="41" w:name="_Toc358786190"/>
      <w:r w:rsidR="000A4E83" w:rsidRPr="001555C8">
        <w:t>Politische und personalpolitische Rahmenbedingungen</w:t>
      </w:r>
      <w:bookmarkEnd w:id="40"/>
      <w:bookmarkEnd w:id="41"/>
      <w:r w:rsidR="000A4E83" w:rsidRPr="001555C8">
        <w:t xml:space="preserve"> </w:t>
      </w:r>
    </w:p>
    <w:p w:rsidR="000A4E83" w:rsidRPr="001555C8" w:rsidRDefault="00A2350C" w:rsidP="00F43B82">
      <w:pPr>
        <w:pStyle w:val="berschrift2"/>
        <w:tabs>
          <w:tab w:val="clear" w:pos="992"/>
          <w:tab w:val="clear" w:pos="2836"/>
        </w:tabs>
        <w:ind w:left="426" w:hanging="426"/>
      </w:pPr>
      <w:bookmarkStart w:id="42" w:name="_Ref354995932"/>
      <w:bookmarkStart w:id="43" w:name="_Toc358786191"/>
      <w:r w:rsidRPr="001555C8">
        <w:t>Heutige Beiträge</w:t>
      </w:r>
      <w:bookmarkEnd w:id="42"/>
      <w:bookmarkEnd w:id="43"/>
    </w:p>
    <w:p w:rsidR="00A2350C" w:rsidRPr="001555C8" w:rsidRDefault="00A2350C" w:rsidP="000A4E83">
      <w:pPr>
        <w:pStyle w:val="Textkrper"/>
        <w:rPr>
          <w:lang w:eastAsia="de-CH"/>
        </w:rPr>
      </w:pPr>
      <w:r w:rsidRPr="001555C8">
        <w:rPr>
          <w:lang w:eastAsia="de-CH"/>
        </w:rPr>
        <w:t>Berechnet mit dem Versichertenbestand per 31.12.201</w:t>
      </w:r>
      <w:r w:rsidR="00F055B2" w:rsidRPr="001555C8">
        <w:rPr>
          <w:lang w:eastAsia="de-CH"/>
        </w:rPr>
        <w:t>2</w:t>
      </w:r>
      <w:r w:rsidRPr="001555C8">
        <w:rPr>
          <w:lang w:eastAsia="de-CH"/>
        </w:rPr>
        <w:t xml:space="preserve"> </w:t>
      </w:r>
      <w:r w:rsidR="00680B45" w:rsidRPr="001555C8">
        <w:rPr>
          <w:lang w:eastAsia="de-CH"/>
        </w:rPr>
        <w:t xml:space="preserve">belaufen sich die ordentlichen Beiträge </w:t>
      </w:r>
      <w:r w:rsidR="00E71B85" w:rsidRPr="001555C8">
        <w:rPr>
          <w:lang w:eastAsia="de-CH"/>
        </w:rPr>
        <w:t xml:space="preserve">der Versicherten ab Alter 25 </w:t>
      </w:r>
      <w:r w:rsidR="00680B45" w:rsidRPr="001555C8">
        <w:rPr>
          <w:lang w:eastAsia="de-CH"/>
        </w:rPr>
        <w:t>auf 24.</w:t>
      </w:r>
      <w:r w:rsidR="00F055B2" w:rsidRPr="001555C8">
        <w:rPr>
          <w:lang w:eastAsia="de-CH"/>
        </w:rPr>
        <w:t>6</w:t>
      </w:r>
      <w:r w:rsidR="00680B45" w:rsidRPr="001555C8">
        <w:rPr>
          <w:lang w:eastAsia="de-CH"/>
        </w:rPr>
        <w:t>% der versicherten Lohnsumme. Wird modellmässig eine Lohnerhöhung von 2.15% ab Alter 25, 1.</w:t>
      </w:r>
      <w:r w:rsidR="00466C1D" w:rsidRPr="001555C8">
        <w:rPr>
          <w:lang w:eastAsia="de-CH"/>
        </w:rPr>
        <w:t>55% ab Alter 30, 1.50% ab Alter </w:t>
      </w:r>
      <w:r w:rsidR="00680B45" w:rsidRPr="001555C8">
        <w:rPr>
          <w:lang w:eastAsia="de-CH"/>
        </w:rPr>
        <w:t>35, 1.35% ab Alter 40, 1.30% ab Alter 45 und 1.00% ab Alter 55 eingerechnet, beträg</w:t>
      </w:r>
      <w:r w:rsidR="00BA0799" w:rsidRPr="001555C8">
        <w:rPr>
          <w:lang w:eastAsia="de-CH"/>
        </w:rPr>
        <w:t>t das Total der Beiträge 27.</w:t>
      </w:r>
      <w:r w:rsidR="00E71B85" w:rsidRPr="001555C8">
        <w:rPr>
          <w:lang w:eastAsia="de-CH"/>
        </w:rPr>
        <w:t>9</w:t>
      </w:r>
      <w:r w:rsidR="00BA0799" w:rsidRPr="001555C8">
        <w:rPr>
          <w:lang w:eastAsia="de-CH"/>
        </w:rPr>
        <w:t>%</w:t>
      </w:r>
      <w:r w:rsidR="00B534B7" w:rsidRPr="001555C8">
        <w:rPr>
          <w:lang w:eastAsia="de-CH"/>
        </w:rPr>
        <w:t xml:space="preserve"> (ab Alter 25 bzw. 27.4% unter Einberechnung </w:t>
      </w:r>
      <w:r w:rsidR="00DD0BFC" w:rsidRPr="001555C8">
        <w:rPr>
          <w:lang w:eastAsia="de-CH"/>
        </w:rPr>
        <w:t xml:space="preserve">aller </w:t>
      </w:r>
      <w:r w:rsidR="00B534B7" w:rsidRPr="001555C8">
        <w:rPr>
          <w:lang w:eastAsia="de-CH"/>
        </w:rPr>
        <w:t>Versicherten</w:t>
      </w:r>
      <w:r w:rsidR="00DD0BFC" w:rsidRPr="001555C8">
        <w:rPr>
          <w:lang w:eastAsia="de-CH"/>
        </w:rPr>
        <w:t>, d.h. auch derjenigen</w:t>
      </w:r>
      <w:r w:rsidR="00B534B7" w:rsidRPr="001555C8">
        <w:rPr>
          <w:lang w:eastAsia="de-CH"/>
        </w:rPr>
        <w:t xml:space="preserve"> unter Alter 25)</w:t>
      </w:r>
      <w:r w:rsidR="00BA0799" w:rsidRPr="001555C8">
        <w:rPr>
          <w:lang w:eastAsia="de-CH"/>
        </w:rPr>
        <w:t>.</w:t>
      </w:r>
      <w:r w:rsidR="00680B45" w:rsidRPr="001555C8">
        <w:rPr>
          <w:lang w:eastAsia="de-CH"/>
        </w:rPr>
        <w:t xml:space="preserve"> Von den ordentlichen Beiträgen schulden die </w:t>
      </w:r>
      <w:proofErr w:type="spellStart"/>
      <w:r w:rsidR="00895CEF" w:rsidRPr="001555C8">
        <w:t>Arbeitnehmenden</w:t>
      </w:r>
      <w:proofErr w:type="spellEnd"/>
      <w:r w:rsidR="00895CEF" w:rsidRPr="001555C8">
        <w:t xml:space="preserve"> </w:t>
      </w:r>
      <w:r w:rsidR="00680B45" w:rsidRPr="001555C8">
        <w:rPr>
          <w:lang w:eastAsia="de-CH"/>
        </w:rPr>
        <w:t xml:space="preserve">40%, die Arbeitgeber 60%, bei den Nachzahlungen beläuft sich das Verhältnis auf 1/3 zu 2/3. </w:t>
      </w:r>
      <w:r w:rsidR="00991ADD" w:rsidRPr="001555C8">
        <w:rPr>
          <w:lang w:eastAsia="de-CH"/>
        </w:rPr>
        <w:t>Zusätzlich hat der Arbeitgeber die Deckungslücke zu verzinsen.</w:t>
      </w:r>
    </w:p>
    <w:p w:rsidR="00991ADD" w:rsidRPr="001555C8" w:rsidRDefault="00991ADD" w:rsidP="00F43B82">
      <w:pPr>
        <w:pStyle w:val="berschrift2"/>
        <w:tabs>
          <w:tab w:val="clear" w:pos="992"/>
          <w:tab w:val="clear" w:pos="2836"/>
        </w:tabs>
        <w:ind w:left="426" w:hanging="426"/>
      </w:pPr>
      <w:bookmarkStart w:id="44" w:name="_Toc358786192"/>
      <w:r w:rsidRPr="001555C8">
        <w:t>Künftige Beiträge</w:t>
      </w:r>
      <w:bookmarkEnd w:id="44"/>
    </w:p>
    <w:p w:rsidR="000A4E83" w:rsidRPr="001555C8" w:rsidRDefault="000A4E83" w:rsidP="000A4E83">
      <w:pPr>
        <w:pStyle w:val="Textkrper"/>
        <w:rPr>
          <w:lang w:eastAsia="de-CH"/>
        </w:rPr>
      </w:pPr>
      <w:r w:rsidRPr="001555C8">
        <w:rPr>
          <w:lang w:eastAsia="de-CH"/>
        </w:rPr>
        <w:t xml:space="preserve">Der </w:t>
      </w:r>
      <w:r w:rsidR="00991ADD" w:rsidRPr="001555C8">
        <w:rPr>
          <w:lang w:eastAsia="de-CH"/>
        </w:rPr>
        <w:t>Stadtrat</w:t>
      </w:r>
      <w:r w:rsidRPr="001555C8">
        <w:rPr>
          <w:lang w:eastAsia="de-CH"/>
        </w:rPr>
        <w:t xml:space="preserve"> hat sich intensiv mit den Folgen einer Anpassung der versicherungstechnischen Parameter auseinandergesetzt. </w:t>
      </w:r>
      <w:r w:rsidR="00207406" w:rsidRPr="001555C8">
        <w:rPr>
          <w:lang w:eastAsia="de-CH"/>
        </w:rPr>
        <w:t xml:space="preserve">Er ist der Meinung, </w:t>
      </w:r>
      <w:r w:rsidRPr="001555C8">
        <w:rPr>
          <w:lang w:eastAsia="de-CH"/>
        </w:rPr>
        <w:t xml:space="preserve">dass das heutige Beitragsniveau </w:t>
      </w:r>
      <w:r w:rsidR="00991ADD" w:rsidRPr="001555C8">
        <w:rPr>
          <w:lang w:eastAsia="de-CH"/>
        </w:rPr>
        <w:t xml:space="preserve">der ordentlichen Beiträge und der Nachzahlungen </w:t>
      </w:r>
      <w:r w:rsidRPr="001555C8">
        <w:rPr>
          <w:lang w:eastAsia="de-CH"/>
        </w:rPr>
        <w:t xml:space="preserve">weder zulasten des Arbeitgebers noch der </w:t>
      </w:r>
      <w:proofErr w:type="spellStart"/>
      <w:r w:rsidR="00895CEF" w:rsidRPr="001555C8">
        <w:t>Arbeitnehmenden</w:t>
      </w:r>
      <w:proofErr w:type="spellEnd"/>
      <w:r w:rsidR="00895CEF" w:rsidRPr="001555C8">
        <w:t xml:space="preserve"> </w:t>
      </w:r>
      <w:r w:rsidRPr="001555C8">
        <w:rPr>
          <w:lang w:eastAsia="de-CH"/>
        </w:rPr>
        <w:t>erhöht werden soll</w:t>
      </w:r>
      <w:r w:rsidR="00207406" w:rsidRPr="001555C8">
        <w:rPr>
          <w:lang w:eastAsia="de-CH"/>
        </w:rPr>
        <w:t xml:space="preserve">. </w:t>
      </w:r>
      <w:r w:rsidRPr="001555C8">
        <w:rPr>
          <w:lang w:eastAsia="de-CH"/>
        </w:rPr>
        <w:t xml:space="preserve">Es ist deshalb anzustreben, dass </w:t>
      </w:r>
      <w:r w:rsidR="00824B1B" w:rsidRPr="001555C8">
        <w:rPr>
          <w:lang w:eastAsia="de-CH"/>
        </w:rPr>
        <w:t>Beiträge</w:t>
      </w:r>
      <w:r w:rsidRPr="001555C8">
        <w:rPr>
          <w:lang w:eastAsia="de-CH"/>
        </w:rPr>
        <w:t xml:space="preserve"> insgesamt nicht höher ausfallen</w:t>
      </w:r>
      <w:r w:rsidR="004B76D8" w:rsidRPr="001555C8">
        <w:rPr>
          <w:lang w:eastAsia="de-CH"/>
        </w:rPr>
        <w:t xml:space="preserve"> </w:t>
      </w:r>
      <w:r w:rsidRPr="001555C8">
        <w:rPr>
          <w:lang w:eastAsia="de-CH"/>
        </w:rPr>
        <w:t>als heute.</w:t>
      </w:r>
    </w:p>
    <w:p w:rsidR="00BA0799" w:rsidRPr="001555C8" w:rsidRDefault="00BA0799" w:rsidP="00F43B82">
      <w:pPr>
        <w:pStyle w:val="berschrift2"/>
        <w:tabs>
          <w:tab w:val="clear" w:pos="992"/>
          <w:tab w:val="clear" w:pos="2836"/>
        </w:tabs>
        <w:ind w:left="426" w:hanging="426"/>
        <w:rPr>
          <w:lang w:eastAsia="de-CH"/>
        </w:rPr>
      </w:pPr>
      <w:bookmarkStart w:id="45" w:name="_Toc358786193"/>
      <w:r w:rsidRPr="001555C8">
        <w:rPr>
          <w:lang w:eastAsia="de-CH"/>
        </w:rPr>
        <w:t>Erhöhung Rücktrittsalter</w:t>
      </w:r>
      <w:bookmarkEnd w:id="45"/>
    </w:p>
    <w:p w:rsidR="00BA0799" w:rsidRPr="001555C8" w:rsidRDefault="00BA0799" w:rsidP="000A4E83">
      <w:pPr>
        <w:pStyle w:val="Textkrper"/>
        <w:rPr>
          <w:lang w:eastAsia="de-CH"/>
        </w:rPr>
      </w:pPr>
      <w:r w:rsidRPr="001555C8">
        <w:rPr>
          <w:lang w:eastAsia="de-CH"/>
        </w:rPr>
        <w:t>Ein Rücktrittsalter von 63 Jahren ist insbesondere aufgrund der erwarteten demographischen Entwicklung und im Quervergleich zu vielen anderen Kassen eher tief. Somit erachtet der Stadtrat eine Erhöhung des Rücktrittsalters, unter Berücksichtigung einer Übergangsreg</w:t>
      </w:r>
      <w:r w:rsidRPr="001555C8">
        <w:rPr>
          <w:lang w:eastAsia="de-CH"/>
        </w:rPr>
        <w:t>e</w:t>
      </w:r>
      <w:r w:rsidRPr="001555C8">
        <w:rPr>
          <w:lang w:eastAsia="de-CH"/>
        </w:rPr>
        <w:t>lung, als eine mögliche Option.</w:t>
      </w:r>
    </w:p>
    <w:p w:rsidR="00BA0799" w:rsidRPr="001555C8" w:rsidRDefault="00BA0799" w:rsidP="000A4E83">
      <w:pPr>
        <w:pStyle w:val="Textkrper"/>
        <w:rPr>
          <w:lang w:eastAsia="de-CH"/>
        </w:rPr>
      </w:pPr>
    </w:p>
    <w:p w:rsidR="000A4E83" w:rsidRPr="001555C8" w:rsidRDefault="00885354" w:rsidP="00C3664B">
      <w:pPr>
        <w:pStyle w:val="berschrift1"/>
        <w:numPr>
          <w:ilvl w:val="0"/>
          <w:numId w:val="2"/>
        </w:numPr>
        <w:tabs>
          <w:tab w:val="clear" w:pos="567"/>
          <w:tab w:val="left" w:pos="992"/>
        </w:tabs>
      </w:pPr>
      <w:bookmarkStart w:id="46" w:name="_Toc328050164"/>
      <w:bookmarkStart w:id="47" w:name="_Ref336853226"/>
      <w:r w:rsidRPr="001555C8">
        <w:rPr>
          <w:lang w:eastAsia="de-CH"/>
        </w:rPr>
        <w:br w:type="page"/>
      </w:r>
      <w:bookmarkStart w:id="48" w:name="_Toc358786194"/>
      <w:r w:rsidR="000A4E83" w:rsidRPr="001555C8">
        <w:t>Technischer Zinssatz</w:t>
      </w:r>
      <w:bookmarkEnd w:id="46"/>
      <w:bookmarkEnd w:id="47"/>
      <w:bookmarkEnd w:id="48"/>
    </w:p>
    <w:p w:rsidR="000A4E83" w:rsidRPr="001555C8" w:rsidRDefault="000A4E83" w:rsidP="00F43B82">
      <w:pPr>
        <w:pStyle w:val="berschrift2"/>
        <w:tabs>
          <w:tab w:val="clear" w:pos="992"/>
          <w:tab w:val="clear" w:pos="2836"/>
        </w:tabs>
        <w:ind w:left="426" w:hanging="426"/>
        <w:rPr>
          <w:lang w:eastAsia="de-CH"/>
        </w:rPr>
      </w:pPr>
      <w:bookmarkStart w:id="49" w:name="_Toc328050165"/>
      <w:bookmarkStart w:id="50" w:name="_Toc358786195"/>
      <w:r w:rsidRPr="001555C8">
        <w:rPr>
          <w:lang w:eastAsia="de-CH"/>
        </w:rPr>
        <w:t>Entwicklung Renditen der letzten Jahre</w:t>
      </w:r>
      <w:bookmarkEnd w:id="49"/>
      <w:bookmarkEnd w:id="50"/>
    </w:p>
    <w:p w:rsidR="000A4E83" w:rsidRPr="001555C8" w:rsidRDefault="00404FD6" w:rsidP="000A4E83">
      <w:pPr>
        <w:pStyle w:val="Textkrper"/>
      </w:pPr>
      <w:r w:rsidRPr="001555C8">
        <w:t xml:space="preserve">Der PK-Index der Bank </w:t>
      </w:r>
      <w:proofErr w:type="spellStart"/>
      <w:r w:rsidRPr="001555C8">
        <w:t>Pictet</w:t>
      </w:r>
      <w:proofErr w:type="spellEnd"/>
      <w:r w:rsidRPr="001555C8">
        <w:t xml:space="preserve"> zeigt, dass die Renditen für ein durchschnittlich angelegtes Portfolio einer Pensionskasse vor allem in den letzten 10 Jahren im Durchschnitt </w:t>
      </w:r>
      <w:r w:rsidR="00991ADD" w:rsidRPr="001555C8">
        <w:t>immer weiter gesunken sind</w:t>
      </w:r>
      <w:r w:rsidRPr="001555C8">
        <w:t xml:space="preserve">: </w:t>
      </w:r>
    </w:p>
    <w:p w:rsidR="000A4E83" w:rsidRPr="001555C8" w:rsidRDefault="00196FAC" w:rsidP="00991ADD">
      <w:pPr>
        <w:pStyle w:val="StyleCaptionArial10pt"/>
        <w:spacing w:before="240" w:after="120"/>
        <w:jc w:val="both"/>
      </w:pPr>
      <w:r w:rsidRPr="001555C8">
        <w:rPr>
          <w:noProof/>
          <w:lang w:eastAsia="de-CH"/>
        </w:rPr>
        <w:drawing>
          <wp:anchor distT="0" distB="0" distL="114300" distR="114300" simplePos="0" relativeHeight="251658240" behindDoc="0" locked="0" layoutInCell="1" allowOverlap="1">
            <wp:simplePos x="0" y="0"/>
            <wp:positionH relativeFrom="column">
              <wp:posOffset>2958465</wp:posOffset>
            </wp:positionH>
            <wp:positionV relativeFrom="paragraph">
              <wp:posOffset>448471</wp:posOffset>
            </wp:positionV>
            <wp:extent cx="2067560" cy="641350"/>
            <wp:effectExtent l="0" t="0" r="889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7560" cy="641350"/>
                    </a:xfrm>
                    <a:prstGeom prst="rect">
                      <a:avLst/>
                    </a:prstGeom>
                    <a:noFill/>
                    <a:ln>
                      <a:noFill/>
                    </a:ln>
                  </pic:spPr>
                </pic:pic>
              </a:graphicData>
            </a:graphic>
          </wp:anchor>
        </w:drawing>
      </w:r>
      <w:r w:rsidR="000A4E83" w:rsidRPr="001555C8">
        <w:t xml:space="preserve">Abbildung </w:t>
      </w:r>
      <w:r w:rsidR="00896579">
        <w:fldChar w:fldCharType="begin"/>
      </w:r>
      <w:r w:rsidR="00C83F16">
        <w:instrText xml:space="preserve"> SEQ Bild \* ARABIC </w:instrText>
      </w:r>
      <w:r w:rsidR="00896579">
        <w:fldChar w:fldCharType="separate"/>
      </w:r>
      <w:r w:rsidR="006674A1">
        <w:rPr>
          <w:noProof/>
        </w:rPr>
        <w:t>1</w:t>
      </w:r>
      <w:r w:rsidR="00896579">
        <w:rPr>
          <w:noProof/>
        </w:rPr>
        <w:fldChar w:fldCharType="end"/>
      </w:r>
      <w:r w:rsidR="000A4E83" w:rsidRPr="001555C8">
        <w:t>:</w:t>
      </w:r>
      <w:r w:rsidR="000A4E83" w:rsidRPr="001555C8">
        <w:tab/>
      </w:r>
      <w:r w:rsidR="00404FD6" w:rsidRPr="001555C8">
        <w:t xml:space="preserve">Renditeentwicklung PK-Index </w:t>
      </w:r>
      <w:proofErr w:type="spellStart"/>
      <w:r w:rsidR="00404FD6" w:rsidRPr="001555C8">
        <w:t>Pictet</w:t>
      </w:r>
      <w:proofErr w:type="spellEnd"/>
      <w:r w:rsidR="00404FD6" w:rsidRPr="001555C8">
        <w:t xml:space="preserve"> 93</w:t>
      </w:r>
      <w:r w:rsidR="002059AB" w:rsidRPr="001555C8">
        <w:br/>
      </w:r>
      <w:r w:rsidR="00D429F7" w:rsidRPr="001555C8">
        <w:rPr>
          <w:noProof/>
          <w:lang w:eastAsia="de-CH"/>
        </w:rPr>
        <w:drawing>
          <wp:inline distT="0" distB="0" distL="0" distR="0">
            <wp:extent cx="5760720" cy="31060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06090"/>
                    </a:xfrm>
                    <a:prstGeom prst="rect">
                      <a:avLst/>
                    </a:prstGeom>
                    <a:noFill/>
                    <a:ln>
                      <a:noFill/>
                    </a:ln>
                  </pic:spPr>
                </pic:pic>
              </a:graphicData>
            </a:graphic>
          </wp:inline>
        </w:drawing>
      </w:r>
    </w:p>
    <w:p w:rsidR="00404FD6" w:rsidRPr="001555C8" w:rsidRDefault="00404FD6" w:rsidP="000A4E83">
      <w:pPr>
        <w:pStyle w:val="Textkrper"/>
      </w:pPr>
    </w:p>
    <w:p w:rsidR="000A4E83" w:rsidRPr="001555C8" w:rsidRDefault="00B84A85" w:rsidP="000A4E83">
      <w:pPr>
        <w:pStyle w:val="Textkrper"/>
      </w:pPr>
      <w:r w:rsidRPr="001555C8">
        <w:t>Eine</w:t>
      </w:r>
      <w:r w:rsidR="000A4E83" w:rsidRPr="001555C8">
        <w:t xml:space="preserve"> Auswertung ergibt, dass in den letzten 5 Jahren durchschnittlich ein Anlageerfolg von </w:t>
      </w:r>
      <w:r w:rsidR="00404FD6" w:rsidRPr="001555C8">
        <w:t>2</w:t>
      </w:r>
      <w:r w:rsidR="000A4E83" w:rsidRPr="001555C8">
        <w:t>.</w:t>
      </w:r>
      <w:r w:rsidR="00D429F7" w:rsidRPr="001555C8">
        <w:t>9</w:t>
      </w:r>
      <w:r w:rsidR="000A4E83" w:rsidRPr="001555C8">
        <w:t xml:space="preserve">% und in den letzten 10 Jahren ein solcher von </w:t>
      </w:r>
      <w:r w:rsidR="00D429F7" w:rsidRPr="001555C8">
        <w:t>4</w:t>
      </w:r>
      <w:r w:rsidR="00404FD6" w:rsidRPr="001555C8">
        <w:t>.</w:t>
      </w:r>
      <w:r w:rsidR="00D429F7" w:rsidRPr="001555C8">
        <w:t>0</w:t>
      </w:r>
      <w:r w:rsidR="000A4E83" w:rsidRPr="001555C8">
        <w:t xml:space="preserve">% erzielt </w:t>
      </w:r>
      <w:r w:rsidR="00991ADD" w:rsidRPr="001555C8">
        <w:t>werden konnte</w:t>
      </w:r>
      <w:r w:rsidR="000A4E83" w:rsidRPr="001555C8">
        <w:t xml:space="preserve">. Diese Werte sind also substanziell tiefer als die Sollrendite für die </w:t>
      </w:r>
      <w:r w:rsidR="00151258" w:rsidRPr="001555C8">
        <w:t>PK Olten</w:t>
      </w:r>
      <w:r w:rsidR="000A4E83" w:rsidRPr="001555C8">
        <w:t xml:space="preserve"> von </w:t>
      </w:r>
      <w:r w:rsidR="00991ADD" w:rsidRPr="001555C8">
        <w:t>rund 4.5</w:t>
      </w:r>
      <w:r w:rsidR="000A4E83" w:rsidRPr="001555C8">
        <w:t>%</w:t>
      </w:r>
      <w:r w:rsidR="0000169A" w:rsidRPr="001555C8">
        <w:t>,</w:t>
      </w:r>
      <w:r w:rsidR="00C439A3" w:rsidRPr="001555C8">
        <w:t xml:space="preserve"> basierend auf den bis Ende 2011 gültigen </w:t>
      </w:r>
      <w:r w:rsidR="0000169A" w:rsidRPr="001555C8">
        <w:t xml:space="preserve">gewesenen </w:t>
      </w:r>
      <w:r w:rsidR="00C439A3" w:rsidRPr="001555C8">
        <w:t>technischen Zinssatz von 4.0%</w:t>
      </w:r>
      <w:r w:rsidR="000A4E83" w:rsidRPr="001555C8">
        <w:t>.</w:t>
      </w:r>
    </w:p>
    <w:p w:rsidR="000A4E83" w:rsidRPr="001555C8" w:rsidRDefault="000A4E83" w:rsidP="00F43B82">
      <w:pPr>
        <w:pStyle w:val="berschrift2"/>
        <w:tabs>
          <w:tab w:val="clear" w:pos="992"/>
          <w:tab w:val="clear" w:pos="2836"/>
        </w:tabs>
        <w:ind w:left="426" w:hanging="426"/>
        <w:rPr>
          <w:lang w:eastAsia="de-CH"/>
        </w:rPr>
      </w:pPr>
      <w:bookmarkStart w:id="51" w:name="_Toc326143430"/>
      <w:bookmarkStart w:id="52" w:name="_Ref324829120"/>
      <w:bookmarkStart w:id="53" w:name="_Toc328050166"/>
      <w:bookmarkStart w:id="54" w:name="_Ref354491238"/>
      <w:bookmarkStart w:id="55" w:name="_Ref354491241"/>
      <w:bookmarkStart w:id="56" w:name="_Toc358786196"/>
      <w:r w:rsidRPr="001555C8">
        <w:rPr>
          <w:lang w:eastAsia="de-CH"/>
        </w:rPr>
        <w:t>Höhe des technischen Zinssatzes</w:t>
      </w:r>
      <w:bookmarkEnd w:id="51"/>
      <w:bookmarkEnd w:id="52"/>
      <w:bookmarkEnd w:id="53"/>
      <w:bookmarkEnd w:id="54"/>
      <w:bookmarkEnd w:id="55"/>
      <w:bookmarkEnd w:id="56"/>
    </w:p>
    <w:p w:rsidR="000A4E83" w:rsidRPr="001555C8" w:rsidRDefault="000A4E83" w:rsidP="000A4E83">
      <w:pPr>
        <w:pStyle w:val="Textkrper"/>
      </w:pPr>
      <w:r w:rsidRPr="001555C8">
        <w:t>Der technische Zinssatz ist eines der zentralsten Elemente einer Vorsorgeeinrichtung. Er ist einerseits für die Bestimmung der Höhe der laufenden Rentenverpflichtungen und andererseits für das Leistungsziel bei den aktiven Versicherten massgebend. Eine Rente stellt für eine Pensionskasse eine Zahlungsverpflichtung dar, womit der technische Zinssatz die Funktion eines Diskontsatzes dieser Verpflichtungen übernimmt. Da die Renten im Sanierungsfall nicht gekürzt werden dürfen, kann sich die Vorsorgeeinrichtung ihrer eingegangenen Verpflichtungen nicht entziehen. I</w:t>
      </w:r>
      <w:r w:rsidR="00D32508" w:rsidRPr="001555C8">
        <w:t xml:space="preserve">m gleichen </w:t>
      </w:r>
      <w:r w:rsidRPr="001555C8">
        <w:t xml:space="preserve">Umfang, wie der technische Zinssatz (aktuell </w:t>
      </w:r>
      <w:r w:rsidR="00991ADD" w:rsidRPr="001555C8">
        <w:t>3.75</w:t>
      </w:r>
      <w:r w:rsidRPr="001555C8">
        <w:t>%</w:t>
      </w:r>
      <w:r w:rsidR="0000169A" w:rsidRPr="001555C8">
        <w:t xml:space="preserve"> für die aktiven Versicherten und 3.0% für die Rentenbeziehenden</w:t>
      </w:r>
      <w:r w:rsidRPr="001555C8">
        <w:t>)</w:t>
      </w:r>
      <w:r w:rsidR="0000169A" w:rsidRPr="001555C8">
        <w:rPr>
          <w:strike/>
        </w:rPr>
        <w:t xml:space="preserve"> </w:t>
      </w:r>
      <w:r w:rsidRPr="001555C8">
        <w:t>über dem risikolosen Zinssatz (aktuell &lt; 1</w:t>
      </w:r>
      <w:r w:rsidR="00991ADD" w:rsidRPr="001555C8">
        <w:t>.0</w:t>
      </w:r>
      <w:r w:rsidRPr="001555C8">
        <w:t xml:space="preserve">%) liegt, muss nun aber eine Vorsorgeeinrichtung Anlagerisiken </w:t>
      </w:r>
      <w:r w:rsidR="00466C1D" w:rsidRPr="001555C8">
        <w:t xml:space="preserve">für die Rentenbeziehenden </w:t>
      </w:r>
      <w:r w:rsidRPr="001555C8">
        <w:t xml:space="preserve">eingehen. Diese Risiken tragen die aktiven Versicherten und die </w:t>
      </w:r>
      <w:proofErr w:type="spellStart"/>
      <w:r w:rsidRPr="001555C8">
        <w:t>Arbeitgebenden</w:t>
      </w:r>
      <w:proofErr w:type="spellEnd"/>
      <w:r w:rsidRPr="001555C8">
        <w:t xml:space="preserve">, nicht aber die Rentenbeziehenden. Nachstehende Grafik zeigt, dass in den letzten zehn Jahren ein Risikotransfer von den Rentenbeziehenden zu den aktiven Versicherten stattfand, da der risikolose Zinssatz seit langem </w:t>
      </w:r>
      <w:r w:rsidR="0000169A" w:rsidRPr="001555C8">
        <w:t xml:space="preserve">tiefer </w:t>
      </w:r>
      <w:r w:rsidRPr="001555C8">
        <w:t>liegt.</w:t>
      </w:r>
    </w:p>
    <w:p w:rsidR="000A4E83" w:rsidRPr="001555C8" w:rsidRDefault="002821AF" w:rsidP="001408C5">
      <w:pPr>
        <w:pStyle w:val="StyleCaptionArial10pt"/>
        <w:spacing w:before="240" w:after="120"/>
        <w:ind w:left="1418" w:hanging="1418"/>
      </w:pPr>
      <w:r w:rsidRPr="001555C8">
        <w:rPr>
          <w:noProof/>
          <w:lang w:eastAsia="de-CH"/>
        </w:rPr>
        <w:t>Abbildung</w:t>
      </w:r>
      <w:r w:rsidRPr="001555C8">
        <w:t xml:space="preserve"> </w:t>
      </w:r>
      <w:r w:rsidR="00896579">
        <w:fldChar w:fldCharType="begin"/>
      </w:r>
      <w:r w:rsidR="00C83F16">
        <w:instrText xml:space="preserve"> SEQ Bild \* ARABIC </w:instrText>
      </w:r>
      <w:r w:rsidR="00896579">
        <w:fldChar w:fldCharType="separate"/>
      </w:r>
      <w:r w:rsidR="006674A1">
        <w:rPr>
          <w:noProof/>
        </w:rPr>
        <w:t>2</w:t>
      </w:r>
      <w:r w:rsidR="00896579">
        <w:rPr>
          <w:noProof/>
        </w:rPr>
        <w:fldChar w:fldCharType="end"/>
      </w:r>
      <w:r w:rsidRPr="001555C8">
        <w:t xml:space="preserve">: </w:t>
      </w:r>
      <w:r w:rsidRPr="001555C8">
        <w:tab/>
        <w:t xml:space="preserve">Entwicklung der Zinssätze der 10-jährigen Bundesobligationen </w:t>
      </w:r>
    </w:p>
    <w:p w:rsidR="00F75F7E" w:rsidRPr="001555C8" w:rsidRDefault="001408C5" w:rsidP="00F75F7E">
      <w:pPr>
        <w:pStyle w:val="Textkrper"/>
        <w:spacing w:line="240" w:lineRule="auto"/>
      </w:pPr>
      <w:r w:rsidRPr="001555C8">
        <w:rPr>
          <w:noProof/>
          <w:lang w:eastAsia="de-CH"/>
        </w:rPr>
        <w:drawing>
          <wp:inline distT="0" distB="0" distL="0" distR="0">
            <wp:extent cx="5760720" cy="33180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318096"/>
                    </a:xfrm>
                    <a:prstGeom prst="rect">
                      <a:avLst/>
                    </a:prstGeom>
                    <a:noFill/>
                    <a:ln>
                      <a:noFill/>
                    </a:ln>
                  </pic:spPr>
                </pic:pic>
              </a:graphicData>
            </a:graphic>
          </wp:inline>
        </w:drawing>
      </w:r>
    </w:p>
    <w:p w:rsidR="00F75F7E" w:rsidRPr="001555C8" w:rsidRDefault="00F75F7E" w:rsidP="000A4E83">
      <w:pPr>
        <w:pStyle w:val="Textkrper"/>
      </w:pPr>
    </w:p>
    <w:p w:rsidR="000A4E83" w:rsidRPr="001555C8" w:rsidRDefault="000A4E83" w:rsidP="000A4E83">
      <w:pPr>
        <w:pStyle w:val="Textkrper"/>
      </w:pPr>
      <w:r w:rsidRPr="001555C8">
        <w:t xml:space="preserve">Die Dauer von 10 Jahren widerspiegelt eine Rentnerpopulation sehr gut, da deren "Duration" i.d.R. bei etwa 10 liegt. Ende </w:t>
      </w:r>
      <w:r w:rsidR="001408C5" w:rsidRPr="001555C8">
        <w:t xml:space="preserve">März 2013 </w:t>
      </w:r>
      <w:r w:rsidRPr="001555C8">
        <w:t xml:space="preserve">lag die Rendite der 10-jährigen Bundesobligationen </w:t>
      </w:r>
      <w:r w:rsidR="001408C5" w:rsidRPr="001555C8">
        <w:t xml:space="preserve">bei </w:t>
      </w:r>
      <w:r w:rsidRPr="001555C8">
        <w:t>0.7</w:t>
      </w:r>
      <w:r w:rsidR="001408C5" w:rsidRPr="001555C8">
        <w:t>5</w:t>
      </w:r>
      <w:r w:rsidRPr="001555C8">
        <w:t>%.</w:t>
      </w:r>
    </w:p>
    <w:p w:rsidR="000A4E83" w:rsidRPr="001555C8" w:rsidRDefault="000A4E83" w:rsidP="000A4E83">
      <w:pPr>
        <w:pStyle w:val="Textkrper"/>
      </w:pPr>
    </w:p>
    <w:p w:rsidR="000A4E83" w:rsidRPr="001555C8" w:rsidRDefault="000A4E83" w:rsidP="000A4E83">
      <w:pPr>
        <w:pStyle w:val="Textkrper"/>
      </w:pPr>
      <w:r w:rsidRPr="001555C8">
        <w:t>Die Abgabe von Empfehlungen zum technischen Zinssatz gehört zu den zentralen Aufgaben der Expertin oder des Experten für berufliche Vorsorge. Diese Aufgabe wurde auch ins Gesetz aufgenommen</w:t>
      </w:r>
      <w:r w:rsidRPr="001555C8">
        <w:rPr>
          <w:vertAlign w:val="superscript"/>
        </w:rPr>
        <w:footnoteReference w:id="2"/>
      </w:r>
      <w:r w:rsidRPr="001555C8">
        <w:t>. Die Experten für berufliche Vorsorge haben ihrerseits die Fachrichtlinien der Schweizerischen Kammer der Pensionskassen-Experten (KPE) zu beachten.</w:t>
      </w:r>
    </w:p>
    <w:p w:rsidR="000A4E83" w:rsidRPr="001555C8" w:rsidRDefault="000A4E83" w:rsidP="000A4E83">
      <w:pPr>
        <w:pStyle w:val="Textkrper"/>
      </w:pPr>
    </w:p>
    <w:p w:rsidR="000A4E83" w:rsidRPr="001555C8" w:rsidRDefault="000A4E83" w:rsidP="000A4E83">
      <w:pPr>
        <w:pStyle w:val="Textkrper"/>
      </w:pPr>
      <w:r w:rsidRPr="001555C8">
        <w:t>Die KPE setzt sich in ihrer Fachrichtlinie</w:t>
      </w:r>
      <w:r w:rsidRPr="001555C8">
        <w:rPr>
          <w:vertAlign w:val="superscript"/>
        </w:rPr>
        <w:footnoteReference w:id="3"/>
      </w:r>
      <w:r w:rsidRPr="001555C8">
        <w:t xml:space="preserve"> FRP 4 mit dem Thema der Festlegung des technischen Zinssatzes auseinander. Der technische Referenzzinssatz zur Bestimmung der Vorsorgekapitalien der Rentenbeziehenden wird ausgehend vom arithmetischen Mittel bestimmt. Dieses wird zu ⅔ mit der durchschnittlichen Performance der letzten 20 Jahre (Basis: BVG-Index 2005 </w:t>
      </w:r>
      <w:proofErr w:type="spellStart"/>
      <w:r w:rsidRPr="001555C8">
        <w:t>Pictet</w:t>
      </w:r>
      <w:proofErr w:type="spellEnd"/>
      <w:r w:rsidRPr="001555C8">
        <w:t xml:space="preserve"> BVG-25 plus) und zu ⅓ mit der aktuellen Rendite 10-jähriger Bundesanleihen gewichtet. Davon werden 0.5% abgezogen. Das so erhaltene Ergebnis wird auf das nächsttiefere Viertelprozent abgerundet. Es darf jedoch weder unter der Rendite für 10-jährige Bundesanleihen liegen noch 4.5% übersteigen.</w:t>
      </w:r>
    </w:p>
    <w:p w:rsidR="000A4E83" w:rsidRPr="001555C8" w:rsidRDefault="000A4E83" w:rsidP="000A4E83">
      <w:pPr>
        <w:pStyle w:val="Textkrper"/>
      </w:pPr>
    </w:p>
    <w:p w:rsidR="000A4E83" w:rsidRPr="001555C8" w:rsidRDefault="000A4E83" w:rsidP="000A4E83">
      <w:pPr>
        <w:pStyle w:val="Textkrper"/>
      </w:pPr>
      <w:r w:rsidRPr="001555C8">
        <w:t>Der aktuelle Referenzzinssatz für das Rechnungsjahr 201</w:t>
      </w:r>
      <w:r w:rsidR="00885354" w:rsidRPr="001555C8">
        <w:t>2</w:t>
      </w:r>
      <w:r w:rsidRPr="001555C8">
        <w:t xml:space="preserve"> liegt bei 3.50% (die guten Anlagejahre der 90er-Jahre sind darin noch berücksichtigt). </w:t>
      </w:r>
      <w:r w:rsidR="0000169A" w:rsidRPr="001555C8">
        <w:t>Der</w:t>
      </w:r>
      <w:r w:rsidRPr="001555C8">
        <w:t xml:space="preserve"> Referenzzinssatz</w:t>
      </w:r>
      <w:r w:rsidR="0000169A" w:rsidRPr="001555C8">
        <w:t xml:space="preserve"> wird sich </w:t>
      </w:r>
      <w:r w:rsidRPr="001555C8">
        <w:t xml:space="preserve">innerhalb der nächsten zehn Jahre insbesondere wegen der starken Abnahme der Rendite der Bundesobligationen gegen 3.0% </w:t>
      </w:r>
      <w:r w:rsidR="0000169A" w:rsidRPr="001555C8">
        <w:t>und</w:t>
      </w:r>
      <w:r w:rsidRPr="001555C8">
        <w:t xml:space="preserve"> darunter bewegen. </w:t>
      </w:r>
    </w:p>
    <w:p w:rsidR="000A4E83" w:rsidRPr="001555C8" w:rsidRDefault="000A4E83" w:rsidP="000A4E83">
      <w:pPr>
        <w:pStyle w:val="Textkrper"/>
      </w:pPr>
    </w:p>
    <w:p w:rsidR="000A4E83" w:rsidRPr="001555C8" w:rsidRDefault="000A4E83" w:rsidP="000A4E83">
      <w:pPr>
        <w:pStyle w:val="Textkrper"/>
      </w:pPr>
      <w:r w:rsidRPr="001555C8">
        <w:t>Diese Fachrichtlinie hält auch das Vorgehen fest, wenn der technische Zinssatz über dem Referenzzinssatz liegt:</w:t>
      </w:r>
    </w:p>
    <w:p w:rsidR="000A4E83" w:rsidRPr="001555C8" w:rsidRDefault="000A4E83" w:rsidP="000A4E83">
      <w:pPr>
        <w:pStyle w:val="Textkrper"/>
      </w:pPr>
    </w:p>
    <w:p w:rsidR="000A4E83" w:rsidRPr="001555C8" w:rsidRDefault="000A4E83" w:rsidP="000A4E83">
      <w:pPr>
        <w:pStyle w:val="Textkrper"/>
        <w:rPr>
          <w:b/>
          <w:i/>
        </w:rPr>
      </w:pPr>
      <w:r w:rsidRPr="001555C8">
        <w:rPr>
          <w:b/>
          <w:i/>
        </w:rPr>
        <w:t xml:space="preserve">Vorgehen bei Übersteigen des technischen Referenzzinssatzes </w:t>
      </w:r>
    </w:p>
    <w:p w:rsidR="000A4E83" w:rsidRPr="001555C8" w:rsidRDefault="000A4E83" w:rsidP="000A4E83">
      <w:pPr>
        <w:pStyle w:val="Textkrper"/>
        <w:rPr>
          <w:i/>
        </w:rPr>
      </w:pPr>
      <w:r w:rsidRPr="001555C8">
        <w:rPr>
          <w:i/>
        </w:rPr>
        <w:t>Liegt der vom obersten Organ gewählte technische Zinssatz für die Berechnung des Deckungsgrades nach Art. 44 Abs. 1 BVV2 um mehr als 0.25% und während mehr als einem Jahr über dem technischen Referenzzinssatz, wird der Experte für berufliche Vorsorge die Überschreitung in seinem periodischen Bericht oder bei der Berechnung der Vorsorgekapit</w:t>
      </w:r>
      <w:r w:rsidRPr="001555C8">
        <w:rPr>
          <w:i/>
        </w:rPr>
        <w:t>a</w:t>
      </w:r>
      <w:r w:rsidRPr="001555C8">
        <w:rPr>
          <w:i/>
        </w:rPr>
        <w:t>lien und der Rückstellungen im Rahmen des Jahresabschlusses nach FER 26 dem obersten Organ schriftlich mitteilen.</w:t>
      </w:r>
    </w:p>
    <w:p w:rsidR="000A4E83" w:rsidRPr="001555C8" w:rsidRDefault="000A4E83" w:rsidP="000A4E83">
      <w:pPr>
        <w:pStyle w:val="Textkrper"/>
        <w:rPr>
          <w:i/>
        </w:rPr>
      </w:pPr>
    </w:p>
    <w:p w:rsidR="000A4E83" w:rsidRPr="001555C8" w:rsidRDefault="000A4E83" w:rsidP="000A4E83">
      <w:pPr>
        <w:pStyle w:val="Textkrper"/>
        <w:rPr>
          <w:i/>
        </w:rPr>
      </w:pPr>
      <w:r w:rsidRPr="001555C8">
        <w:rPr>
          <w:i/>
        </w:rPr>
        <w:t>Der Experte für berufliche Vorsorge hat die Überschreitung zu begründen, ansonsten schlägt er dem obersten Organ Massnahmen vor, um den technischen Zinssatz der Vorsorgeeinric</w:t>
      </w:r>
      <w:r w:rsidRPr="001555C8">
        <w:rPr>
          <w:i/>
        </w:rPr>
        <w:t>h</w:t>
      </w:r>
      <w:r w:rsidRPr="001555C8">
        <w:rPr>
          <w:i/>
        </w:rPr>
        <w:t>tung innert 7 Jahren auf den technischen Referenzzinssatz zu senken.</w:t>
      </w:r>
    </w:p>
    <w:p w:rsidR="000A4E83" w:rsidRPr="001555C8" w:rsidRDefault="000A4E83" w:rsidP="000A4E83">
      <w:pPr>
        <w:pStyle w:val="Textkrper"/>
        <w:rPr>
          <w:i/>
        </w:rPr>
      </w:pPr>
    </w:p>
    <w:p w:rsidR="000A4E83" w:rsidRPr="001555C8" w:rsidRDefault="000A4E83" w:rsidP="000A4E83">
      <w:pPr>
        <w:pStyle w:val="Textkrper"/>
        <w:rPr>
          <w:i/>
        </w:rPr>
      </w:pPr>
      <w:r w:rsidRPr="001555C8">
        <w:rPr>
          <w:i/>
        </w:rPr>
        <w:t>Verschwindet die festgestellte Abweichung gegenüber dem technischen Referenzzinssatz vor Ablauf der 7-jährigen Frist, werden die getroffenen Massnahmen aufgehoben. Erhöht sich die festgestellte Abweichung gegenüber dem technischen Referenzzinssatz vor Ablauf der 7-jährigen Frist, werden die getroffenen Massnahmen entsprechend angepasst.</w:t>
      </w:r>
    </w:p>
    <w:p w:rsidR="000A4E83" w:rsidRPr="001555C8" w:rsidRDefault="000A4E83" w:rsidP="000A4E83">
      <w:pPr>
        <w:pStyle w:val="Textkrper"/>
      </w:pPr>
    </w:p>
    <w:p w:rsidR="000A4E83" w:rsidRPr="001555C8" w:rsidRDefault="000A4E83" w:rsidP="000A4E83">
      <w:pPr>
        <w:pStyle w:val="Textkrper"/>
      </w:pPr>
      <w:proofErr w:type="spellStart"/>
      <w:r w:rsidRPr="001555C8">
        <w:t>Primatsunabhängig</w:t>
      </w:r>
      <w:proofErr w:type="spellEnd"/>
      <w:r w:rsidRPr="001555C8">
        <w:t xml:space="preserve"> ist der technische Zinssatz für die Rentenbezüger der Diskontsatz zur Bestimmung der eingegangenen Rentenverpflichtungen. Eine Senkung des technischen Zinssatzes um 1 Prozentpunkt führt zu einer Erhöhung der Deckungskapitalien um rund 10%. Nebst der Lebenserwartung ist der technische Zinssatz die entscheidende Grösse zur Bestimmung des Umwandlungssatzes. Je tiefer also der technische Zinssatz festgelegt wird, desto tiefer fällt der Umwandlungssatz aus. Sind diese beiden Grössen nicht im Gleichgewicht, fallen Pensionierungsverluste an, die es dann aus anderer Quelle zu finanzieren gilt.</w:t>
      </w:r>
    </w:p>
    <w:p w:rsidR="000A4E83" w:rsidRPr="001555C8" w:rsidRDefault="000A4E83" w:rsidP="000A4E83">
      <w:pPr>
        <w:pStyle w:val="Textkrper"/>
      </w:pPr>
    </w:p>
    <w:p w:rsidR="000A4E83" w:rsidRPr="001555C8" w:rsidRDefault="000A4E83" w:rsidP="000A4E83">
      <w:pPr>
        <w:pStyle w:val="Textkrper"/>
      </w:pPr>
      <w:r w:rsidRPr="001555C8">
        <w:t xml:space="preserve">Allerdings ist mit der Senkung des Zinssatzes auch die Frage der Generationengerechtigkeit zu prüfen, da damit eine Erhöhung des Fehlbetrags und somit der einzustellenden Forderung verbunden ist, welche schlussendlich durch den </w:t>
      </w:r>
      <w:proofErr w:type="spellStart"/>
      <w:r w:rsidRPr="001555C8">
        <w:t>Arbeitgebenden</w:t>
      </w:r>
      <w:proofErr w:type="spellEnd"/>
      <w:r w:rsidRPr="001555C8">
        <w:t xml:space="preserve"> und die aktiven Versicherten, nicht aber durch die Rentenbeziehenden zusätzlich zu amortisieren ist.</w:t>
      </w:r>
    </w:p>
    <w:p w:rsidR="000A4E83" w:rsidRPr="001555C8" w:rsidRDefault="000A4E83" w:rsidP="000A4E83">
      <w:pPr>
        <w:pStyle w:val="Textkrper"/>
      </w:pPr>
    </w:p>
    <w:p w:rsidR="000A4E83" w:rsidRPr="001555C8" w:rsidRDefault="000A4E83" w:rsidP="000A4E83">
      <w:pPr>
        <w:pStyle w:val="Textkrper"/>
        <w:rPr>
          <w:b/>
        </w:rPr>
      </w:pPr>
      <w:bookmarkStart w:id="57" w:name="_Toc326143432"/>
      <w:r w:rsidRPr="001555C8">
        <w:rPr>
          <w:b/>
        </w:rPr>
        <w:t>Festlegung</w:t>
      </w:r>
      <w:bookmarkEnd w:id="57"/>
    </w:p>
    <w:p w:rsidR="000A4E83" w:rsidRPr="001555C8" w:rsidRDefault="000A4E83" w:rsidP="000A4E83">
      <w:pPr>
        <w:pStyle w:val="Textkrper"/>
      </w:pPr>
      <w:r w:rsidRPr="001555C8">
        <w:t xml:space="preserve">Der technische Zinssatz sollte eher vorsichtig festgelegt werden, da für jede </w:t>
      </w:r>
      <w:r w:rsidR="00C248E8" w:rsidRPr="001555C8">
        <w:t xml:space="preserve">Neuverrentung </w:t>
      </w:r>
      <w:r w:rsidRPr="001555C8">
        <w:t>diese "Zinsgarantie" – laufende Renten können nicht gekürzt werden – mehr als 20 Jahre gilt. Wird er sehr tief angelegt, "verteuert" dies auf der anderen Seite die Vorsorge, da für das Leistungsziel entsprechend höhere Sparbeiträge zu leisten sind. Hier hat also auch im Beitragsprimat der technische Zinssatz eine Auswirkung für die aktiven Versicherten.</w:t>
      </w:r>
    </w:p>
    <w:p w:rsidR="00885354" w:rsidRPr="001555C8" w:rsidRDefault="00885354" w:rsidP="007216C0">
      <w:pPr>
        <w:pStyle w:val="Textkrper"/>
      </w:pPr>
    </w:p>
    <w:p w:rsidR="000A4E83" w:rsidRPr="001555C8" w:rsidRDefault="000A4E83" w:rsidP="00FD7B26">
      <w:pPr>
        <w:pStyle w:val="Textkrper"/>
      </w:pPr>
      <w:r w:rsidRPr="001555C8">
        <w:t>Bei Einführung des BVG betrug der technische Zinssatz (massgebend: BVG Umwandlung</w:t>
      </w:r>
      <w:r w:rsidRPr="001555C8">
        <w:t>s</w:t>
      </w:r>
      <w:r w:rsidRPr="001555C8">
        <w:t>satz) 3.5</w:t>
      </w:r>
      <w:r w:rsidR="00991ADD" w:rsidRPr="001555C8">
        <w:t>0</w:t>
      </w:r>
      <w:r w:rsidRPr="001555C8">
        <w:t xml:space="preserve">%, was im Vergleich zu dem damaligen Zinsniveau ein vorsichtiger Satz war bzw. eine Sicherheitsmarge beinhaltete. </w:t>
      </w:r>
      <w:r w:rsidR="00474EEB" w:rsidRPr="001555C8">
        <w:t>Würd</w:t>
      </w:r>
      <w:r w:rsidR="00FD7B26" w:rsidRPr="001555C8">
        <w:t>e</w:t>
      </w:r>
      <w:r w:rsidR="00474EEB" w:rsidRPr="001555C8">
        <w:t xml:space="preserve"> die PK Olten den technischen Zinssatz </w:t>
      </w:r>
      <w:r w:rsidR="00FD7B26" w:rsidRPr="001555C8">
        <w:t xml:space="preserve">ebenso vorsichtig festlegen, hätte dies beim heutigen sehr tiefen Zinsniveau sehr hohe Mehrkosten zur Folge. </w:t>
      </w:r>
      <w:r w:rsidRPr="001555C8">
        <w:t>Bei der Senkung des technischen Zinssatzes ist deshalb auch zwischen Wünschbarem und R</w:t>
      </w:r>
      <w:bookmarkStart w:id="58" w:name="OLE_LINK2"/>
      <w:bookmarkStart w:id="59" w:name="OLE_LINK1"/>
      <w:r w:rsidR="00991ADD" w:rsidRPr="001555C8">
        <w:t>ealisierbarem zu unterscheiden.</w:t>
      </w:r>
    </w:p>
    <w:p w:rsidR="00991ADD" w:rsidRPr="001555C8" w:rsidRDefault="00991ADD" w:rsidP="007216C0">
      <w:pPr>
        <w:pStyle w:val="Textkrper"/>
      </w:pPr>
    </w:p>
    <w:p w:rsidR="0000169A" w:rsidRPr="001555C8" w:rsidRDefault="0000169A">
      <w:pPr>
        <w:overflowPunct/>
        <w:autoSpaceDE/>
        <w:autoSpaceDN/>
        <w:adjustRightInd/>
        <w:textAlignment w:val="auto"/>
      </w:pPr>
      <w:r w:rsidRPr="001555C8">
        <w:br w:type="page"/>
      </w:r>
    </w:p>
    <w:p w:rsidR="00474EEB" w:rsidRPr="001555C8" w:rsidRDefault="002275E3" w:rsidP="000A4E83">
      <w:pPr>
        <w:pStyle w:val="Textkrper"/>
      </w:pPr>
      <w:r w:rsidRPr="001555C8">
        <w:t xml:space="preserve">Mit Blick auf das </w:t>
      </w:r>
      <w:r w:rsidR="0026467D" w:rsidRPr="001555C8">
        <w:t>anhaltend</w:t>
      </w:r>
      <w:r w:rsidRPr="001555C8">
        <w:t xml:space="preserve"> tiefe Zinsniveau hat d</w:t>
      </w:r>
      <w:r w:rsidR="00474EEB" w:rsidRPr="001555C8">
        <w:t xml:space="preserve">ie Pensionskommission in </w:t>
      </w:r>
      <w:r w:rsidRPr="001555C8">
        <w:t xml:space="preserve">ihrer </w:t>
      </w:r>
      <w:r w:rsidR="00474EEB" w:rsidRPr="001555C8">
        <w:t xml:space="preserve">Sitzung vom 16. April 2013 beschlossen, den technischen Zinssatz der Rentenbeziehenden </w:t>
      </w:r>
      <w:r w:rsidRPr="001555C8">
        <w:t xml:space="preserve">für das Rechnungsjahr 2012 </w:t>
      </w:r>
      <w:r w:rsidR="00474EEB" w:rsidRPr="001555C8">
        <w:t xml:space="preserve">von 3.75% auf 3.00% zu senken. </w:t>
      </w:r>
      <w:r w:rsidR="00FD7B26" w:rsidRPr="001555C8">
        <w:t>Die Wahl des Primats ist eine der zentralen Fragestellungen im Zusammenhang mit der Reform der Pensionskasse</w:t>
      </w:r>
      <w:r w:rsidR="005C4F2C" w:rsidRPr="001555C8">
        <w:t>, auf die in diesem Bericht später eingegangen wird</w:t>
      </w:r>
      <w:r w:rsidR="00FD7B26" w:rsidRPr="001555C8">
        <w:t>. Ein</w:t>
      </w:r>
      <w:r w:rsidR="0090791F">
        <w:t>e</w:t>
      </w:r>
      <w:r w:rsidR="00FD7B26" w:rsidRPr="001555C8">
        <w:t xml:space="preserve"> Senkung des technischen Zinssatzes der aktiven Versicherten </w:t>
      </w:r>
      <w:r w:rsidRPr="001555C8">
        <w:t xml:space="preserve">zu diesem Zeitpunkt </w:t>
      </w:r>
      <w:r w:rsidR="00FD7B26" w:rsidRPr="001555C8">
        <w:t xml:space="preserve">würde einen Eingriff in die Arbeiten der Gesetzesrevision darstellen, weshalb die Pensionskommission diesen </w:t>
      </w:r>
      <w:r w:rsidRPr="001555C8">
        <w:t xml:space="preserve">vorläufig </w:t>
      </w:r>
      <w:r w:rsidR="00FD7B26" w:rsidRPr="001555C8">
        <w:t xml:space="preserve">unverändert auf </w:t>
      </w:r>
      <w:r w:rsidR="00474EEB" w:rsidRPr="001555C8">
        <w:t>3.75%</w:t>
      </w:r>
      <w:r w:rsidR="00FD7B26" w:rsidRPr="001555C8">
        <w:t xml:space="preserve"> belassen hat</w:t>
      </w:r>
      <w:r w:rsidR="00474EEB" w:rsidRPr="001555C8">
        <w:t xml:space="preserve">. </w:t>
      </w:r>
    </w:p>
    <w:p w:rsidR="000A4E83" w:rsidRPr="001555C8" w:rsidRDefault="000A4E83" w:rsidP="00F43B82">
      <w:pPr>
        <w:pStyle w:val="berschrift2"/>
        <w:tabs>
          <w:tab w:val="clear" w:pos="992"/>
          <w:tab w:val="clear" w:pos="2836"/>
        </w:tabs>
        <w:ind w:left="426" w:hanging="426"/>
        <w:rPr>
          <w:lang w:eastAsia="de-CH"/>
        </w:rPr>
      </w:pPr>
      <w:bookmarkStart w:id="60" w:name="_Toc328050167"/>
      <w:bookmarkStart w:id="61" w:name="_Toc358786197"/>
      <w:r w:rsidRPr="001555C8">
        <w:rPr>
          <w:lang w:eastAsia="de-CH"/>
        </w:rPr>
        <w:t>Auswirkungen einer Senkung des technischen Zinssatzes</w:t>
      </w:r>
      <w:bookmarkEnd w:id="60"/>
      <w:bookmarkEnd w:id="61"/>
    </w:p>
    <w:bookmarkEnd w:id="58"/>
    <w:bookmarkEnd w:id="59"/>
    <w:p w:rsidR="000A4E83" w:rsidRPr="001555C8" w:rsidRDefault="000A4E83" w:rsidP="000A4E83">
      <w:pPr>
        <w:pStyle w:val="Textkrper"/>
        <w:rPr>
          <w:b/>
          <w:lang w:eastAsia="de-CH"/>
        </w:rPr>
      </w:pPr>
      <w:r w:rsidRPr="001555C8">
        <w:rPr>
          <w:b/>
          <w:lang w:eastAsia="de-CH"/>
        </w:rPr>
        <w:t>Funktion des technischen Zinssatzes im Leistungsprimat (Aktive):</w:t>
      </w:r>
    </w:p>
    <w:p w:rsidR="000A4E83" w:rsidRPr="001555C8" w:rsidRDefault="000A4E83" w:rsidP="000A4E83">
      <w:pPr>
        <w:pStyle w:val="Textkrper"/>
      </w:pPr>
      <w:r w:rsidRPr="001555C8">
        <w:t xml:space="preserve">Je höher der technische Zinssatz festgelegt ist, desto tiefer fallen der </w:t>
      </w:r>
      <w:r w:rsidR="002B470E" w:rsidRPr="001555C8">
        <w:t>Barwert der erworbenen Leistungen</w:t>
      </w:r>
      <w:r w:rsidR="0026467D" w:rsidRPr="001555C8">
        <w:rPr>
          <w:rStyle w:val="Funotenzeichen"/>
        </w:rPr>
        <w:footnoteReference w:id="4"/>
      </w:r>
      <w:r w:rsidR="002B470E" w:rsidRPr="001555C8">
        <w:t xml:space="preserve"> (BEL)</w:t>
      </w:r>
      <w:r w:rsidRPr="001555C8">
        <w:t xml:space="preserve"> und damit die reglementarischen Beiträge aus. Im Gegenzug ist die Sollrendite entsprechend höher, d.h. diejenige Rendite, die mindestens zu erzielen ist, damit der Deckungsgrad nicht absinkt. Eine Senkung des technischen Zinssatzes bei gleichem Leistungsziel führt somit sowohl zu Einmalkosten ("teurerer" Tarif wegen des tieferen technischen Zinssatzes und damit höherer BEL) als auch </w:t>
      </w:r>
      <w:r w:rsidR="00906D9A" w:rsidRPr="001555C8">
        <w:t>zu einem Mehrbedarf an Beiträgen</w:t>
      </w:r>
      <w:r w:rsidRPr="001555C8">
        <w:t xml:space="preserve"> (um den künftigen Anstieg des "teureren" BEL zu finanzieren). </w:t>
      </w:r>
    </w:p>
    <w:p w:rsidR="000A4E83" w:rsidRPr="001555C8" w:rsidRDefault="000A4E83" w:rsidP="000A4E83">
      <w:pPr>
        <w:pStyle w:val="Textkrper"/>
      </w:pPr>
    </w:p>
    <w:p w:rsidR="000A4E83" w:rsidRPr="001555C8" w:rsidRDefault="000A4E83" w:rsidP="000A4E83">
      <w:pPr>
        <w:pStyle w:val="Textkrper"/>
        <w:rPr>
          <w:b/>
          <w:lang w:eastAsia="de-CH"/>
        </w:rPr>
      </w:pPr>
      <w:r w:rsidRPr="001555C8">
        <w:rPr>
          <w:b/>
          <w:lang w:eastAsia="de-CH"/>
        </w:rPr>
        <w:t>Funktion des technischen Zinssatzes im Beitragsprimat</w:t>
      </w:r>
    </w:p>
    <w:p w:rsidR="000A4E83" w:rsidRPr="001555C8" w:rsidRDefault="000A4E83" w:rsidP="000A4E83">
      <w:pPr>
        <w:pStyle w:val="Textkrper"/>
      </w:pPr>
      <w:r w:rsidRPr="001555C8">
        <w:t>Der technische Zinssatz spielt im Beitragsprimat für die Sollrendite anders als im Leistungsprimat erst bei Pensionierung eine Rolle, indem er – nebst der Lebenserwartung – die massgebende Grösse für die Höhe des Umwandlungssatzes ist. Je tiefer und damit vorsichtiger der technische Zinssatz festgelegt wird, desto tiefer fällt der Umwandlungssatz aus. Damit wirkt er indirekt auf die aktiven Versicherten: Für den Beibehalt eines modellmässigen Leistungsziels müssen bei einer Senkung des Umwandlungssatzes die Sparbeiträge erhöht sowie eine Einlage vorgenommen werden. Die</w:t>
      </w:r>
      <w:r w:rsidR="00D32508" w:rsidRPr="001555C8">
        <w:t>se</w:t>
      </w:r>
      <w:r w:rsidRPr="001555C8">
        <w:t xml:space="preserve"> Einlage kompensiert, wie im Leistungsprimat, die Leistungseinbusse auf dem erworbenen Teil, die höheren Sparbeiträge auf dem noch zu erwerbenden Teil. </w:t>
      </w:r>
      <w:r w:rsidR="00C5175B" w:rsidRPr="001555C8">
        <w:t>Dies zeigt, dass die beiden System einander ähnlicher sind als vielerorts angenommen.</w:t>
      </w:r>
    </w:p>
    <w:p w:rsidR="00225B79" w:rsidRPr="001555C8" w:rsidRDefault="00225B79" w:rsidP="000A4E83">
      <w:pPr>
        <w:pStyle w:val="Textkrper"/>
      </w:pPr>
    </w:p>
    <w:p w:rsidR="00EE68B7" w:rsidRPr="001555C8" w:rsidRDefault="00EE68B7">
      <w:pPr>
        <w:overflowPunct/>
        <w:autoSpaceDE/>
        <w:autoSpaceDN/>
        <w:adjustRightInd/>
        <w:textAlignment w:val="auto"/>
        <w:rPr>
          <w:rFonts w:cs="Arial"/>
          <w:b/>
          <w:bCs/>
          <w:kern w:val="32"/>
          <w:sz w:val="26"/>
          <w:szCs w:val="32"/>
        </w:rPr>
      </w:pPr>
      <w:bookmarkStart w:id="62" w:name="_Toc327346437"/>
      <w:r w:rsidRPr="001555C8">
        <w:br w:type="page"/>
      </w:r>
    </w:p>
    <w:p w:rsidR="00225B79" w:rsidRPr="001555C8" w:rsidRDefault="00225B79" w:rsidP="00225B79">
      <w:pPr>
        <w:pStyle w:val="berschrift1"/>
        <w:numPr>
          <w:ilvl w:val="0"/>
          <w:numId w:val="2"/>
        </w:numPr>
        <w:tabs>
          <w:tab w:val="clear" w:pos="567"/>
          <w:tab w:val="left" w:pos="992"/>
        </w:tabs>
      </w:pPr>
      <w:bookmarkStart w:id="63" w:name="_Toc358786198"/>
      <w:r w:rsidRPr="001555C8">
        <w:t>Wechsel vom Leistungs- zum Beitragsprimat</w:t>
      </w:r>
      <w:bookmarkEnd w:id="63"/>
    </w:p>
    <w:p w:rsidR="00225B79" w:rsidRPr="001555C8" w:rsidRDefault="00225B79" w:rsidP="00225B79">
      <w:pPr>
        <w:pStyle w:val="berschrift2"/>
        <w:tabs>
          <w:tab w:val="clear" w:pos="992"/>
          <w:tab w:val="clear" w:pos="2836"/>
        </w:tabs>
        <w:ind w:left="426" w:hanging="426"/>
        <w:rPr>
          <w:lang w:eastAsia="de-CH"/>
        </w:rPr>
      </w:pPr>
      <w:bookmarkStart w:id="64" w:name="_Toc358786199"/>
      <w:r w:rsidRPr="001555C8">
        <w:rPr>
          <w:lang w:eastAsia="de-CH"/>
        </w:rPr>
        <w:t>Beschreibung der Vorsorgeprimate</w:t>
      </w:r>
      <w:bookmarkEnd w:id="64"/>
    </w:p>
    <w:p w:rsidR="00615738" w:rsidRPr="001555C8" w:rsidRDefault="00615738" w:rsidP="00615738">
      <w:pPr>
        <w:pStyle w:val="berschrift3"/>
        <w:rPr>
          <w:lang w:eastAsia="de-CH"/>
        </w:rPr>
      </w:pPr>
      <w:bookmarkStart w:id="65" w:name="_Toc358786200"/>
      <w:r w:rsidRPr="001555C8">
        <w:rPr>
          <w:lang w:eastAsia="de-CH"/>
        </w:rPr>
        <w:t>Leistungsprimat</w:t>
      </w:r>
      <w:bookmarkEnd w:id="65"/>
    </w:p>
    <w:p w:rsidR="00615738" w:rsidRPr="001555C8" w:rsidRDefault="00615738" w:rsidP="00615738">
      <w:pPr>
        <w:spacing w:line="280" w:lineRule="exact"/>
        <w:jc w:val="both"/>
      </w:pPr>
      <w:r w:rsidRPr="001555C8">
        <w:t>Beim Leistungsprimat wird ein</w:t>
      </w:r>
      <w:r w:rsidR="005C4F2C" w:rsidRPr="001555C8">
        <w:t xml:space="preserve"> festes</w:t>
      </w:r>
      <w:r w:rsidRPr="001555C8">
        <w:t xml:space="preserve"> Leistungsziel als Prozentsatz </w:t>
      </w:r>
      <w:r w:rsidR="005C4F2C" w:rsidRPr="001555C8">
        <w:t>des</w:t>
      </w:r>
      <w:r w:rsidRPr="001555C8">
        <w:t xml:space="preserve"> </w:t>
      </w:r>
      <w:r w:rsidRPr="001555C8">
        <w:rPr>
          <w:spacing w:val="4"/>
        </w:rPr>
        <w:t>versicherten Lohns festgeschrieben. Dieses Leistungsziel wird erreicht</w:t>
      </w:r>
      <w:r w:rsidRPr="001555C8">
        <w:t xml:space="preserve">, </w:t>
      </w:r>
      <w:r w:rsidRPr="001555C8">
        <w:rPr>
          <w:spacing w:val="2"/>
        </w:rPr>
        <w:t xml:space="preserve">wenn die versicherte Person und ihr </w:t>
      </w:r>
      <w:proofErr w:type="spellStart"/>
      <w:r w:rsidRPr="001555C8">
        <w:rPr>
          <w:spacing w:val="2"/>
        </w:rPr>
        <w:t>Arbeitgebender</w:t>
      </w:r>
      <w:proofErr w:type="spellEnd"/>
      <w:r w:rsidRPr="001555C8">
        <w:rPr>
          <w:spacing w:val="2"/>
        </w:rPr>
        <w:t xml:space="preserve"> nicht nur die reglementarischen Beiträge sonde</w:t>
      </w:r>
      <w:r w:rsidRPr="001555C8">
        <w:t>rn auch sämtliche im Reglement oder dem Erlass vorgesehenen Nachzahlungen für Lohnerhöhungen (Lohnerhöhungsbeiträge) und Einkäufe geleistet haben.</w:t>
      </w:r>
    </w:p>
    <w:p w:rsidR="00615738" w:rsidRPr="001555C8" w:rsidRDefault="00615738" w:rsidP="00615738">
      <w:pPr>
        <w:spacing w:line="280" w:lineRule="exact"/>
        <w:jc w:val="both"/>
      </w:pPr>
    </w:p>
    <w:p w:rsidR="00615738" w:rsidRPr="001555C8" w:rsidRDefault="00615738" w:rsidP="00615738">
      <w:pPr>
        <w:spacing w:line="280" w:lineRule="exact"/>
        <w:jc w:val="both"/>
      </w:pPr>
      <w:r w:rsidRPr="001555C8">
        <w:rPr>
          <w:spacing w:val="-2"/>
        </w:rPr>
        <w:t>Das Leistungsprimat wird in der Regel kollektiv finanziert und beruht damit auf einer Generationensolidarität</w:t>
      </w:r>
      <w:r w:rsidRPr="001555C8">
        <w:rPr>
          <w:spacing w:val="4"/>
        </w:rPr>
        <w:t>. Die Finanzierung wird modellmässig so festgesetzt, dass die Leistungen mit den reglementarischen</w:t>
      </w:r>
      <w:r w:rsidRPr="001555C8">
        <w:t xml:space="preserve"> </w:t>
      </w:r>
      <w:r w:rsidRPr="001555C8">
        <w:rPr>
          <w:spacing w:val="4"/>
        </w:rPr>
        <w:t>Beiträgen, den Nachzahlungen oder Lohnerhöhungsbeiträgen und unter Berücksichtigun</w:t>
      </w:r>
      <w:r w:rsidRPr="001555C8">
        <w:t xml:space="preserve">g einer tariflich starren Verzinsung, dem technischen Zinssatz, finanziert werden können. Hat die Pensionskasse einen Einheitsbeitrag, so finanziert sich eine jüngere Person die für ihre spätere Rente notwendigen Beiträge vor. Tritt ein jüngerer Versicherter aus, so kann sein vorfinanzierter Beitrag zur Gesamtfinanzierung der Vorsorge verwendet werden. Es besteht daher </w:t>
      </w:r>
      <w:r w:rsidR="00466C1D" w:rsidRPr="001555C8">
        <w:t xml:space="preserve">eine </w:t>
      </w:r>
      <w:r w:rsidRPr="001555C8">
        <w:rPr>
          <w:spacing w:val="-2"/>
        </w:rPr>
        <w:t xml:space="preserve">Solidarität von den jüngeren zu den älteren Versicherten. </w:t>
      </w:r>
    </w:p>
    <w:p w:rsidR="004C1AEE" w:rsidRPr="001555C8" w:rsidRDefault="004C1AEE" w:rsidP="00615738">
      <w:pPr>
        <w:spacing w:line="280" w:lineRule="exact"/>
        <w:jc w:val="both"/>
      </w:pPr>
    </w:p>
    <w:p w:rsidR="004C1AEE" w:rsidRPr="001555C8" w:rsidRDefault="004C1AEE" w:rsidP="004C1AEE">
      <w:pPr>
        <w:spacing w:line="280" w:lineRule="exact"/>
        <w:jc w:val="both"/>
      </w:pPr>
      <w:r w:rsidRPr="001555C8">
        <w:rPr>
          <w:spacing w:val="-2"/>
        </w:rPr>
        <w:t>In der PK Olten sind die Beiträge altersmässig abgestuft. Dadurch werden die negativen Auswirkungen</w:t>
      </w:r>
      <w:r w:rsidRPr="001555C8">
        <w:t xml:space="preserve"> der kollektiven Finanzierung für die jüngeren Versicherten abgeschwächt. Beseitigt </w:t>
      </w:r>
      <w:r w:rsidR="005C4F2C" w:rsidRPr="001555C8">
        <w:t>sind</w:t>
      </w:r>
      <w:r w:rsidRPr="001555C8">
        <w:t xml:space="preserve"> sie jedoch nicht.</w:t>
      </w:r>
    </w:p>
    <w:p w:rsidR="00615738" w:rsidRPr="001555C8" w:rsidRDefault="00615738" w:rsidP="00615738">
      <w:pPr>
        <w:pStyle w:val="berschrift3"/>
        <w:rPr>
          <w:lang w:eastAsia="de-CH"/>
        </w:rPr>
      </w:pPr>
      <w:bookmarkStart w:id="66" w:name="_Toc358786201"/>
      <w:r w:rsidRPr="001555C8">
        <w:rPr>
          <w:lang w:eastAsia="de-CH"/>
        </w:rPr>
        <w:t>Beitragsprimat</w:t>
      </w:r>
      <w:bookmarkEnd w:id="66"/>
    </w:p>
    <w:p w:rsidR="00615738" w:rsidRPr="001555C8" w:rsidRDefault="00615738" w:rsidP="00615738">
      <w:pPr>
        <w:spacing w:line="280" w:lineRule="atLeast"/>
        <w:jc w:val="both"/>
      </w:pPr>
      <w:r w:rsidRPr="001555C8">
        <w:t xml:space="preserve">Im Beitragsprimat wird für jede versicherte Person </w:t>
      </w:r>
      <w:r w:rsidR="00310608" w:rsidRPr="001555C8">
        <w:t xml:space="preserve">ein Alterskapital ähnlich einem </w:t>
      </w:r>
      <w:r w:rsidRPr="001555C8">
        <w:t xml:space="preserve">Sparkapital gebildet. Dieses Kapital wird </w:t>
      </w:r>
      <w:proofErr w:type="spellStart"/>
      <w:r w:rsidRPr="001555C8">
        <w:rPr>
          <w:spacing w:val="-2"/>
        </w:rPr>
        <w:t>geäufnet</w:t>
      </w:r>
      <w:proofErr w:type="spellEnd"/>
      <w:r w:rsidRPr="001555C8">
        <w:rPr>
          <w:spacing w:val="-2"/>
        </w:rPr>
        <w:t xml:space="preserve"> durch die eingebrachten Freizügigkeitslei</w:t>
      </w:r>
      <w:r w:rsidRPr="001555C8">
        <w:rPr>
          <w:spacing w:val="-2"/>
        </w:rPr>
        <w:t>s</w:t>
      </w:r>
      <w:r w:rsidRPr="001555C8">
        <w:rPr>
          <w:spacing w:val="-2"/>
        </w:rPr>
        <w:t>tungen, die Einkäufe der versicherten Personen</w:t>
      </w:r>
      <w:r w:rsidRPr="001555C8">
        <w:t xml:space="preserve">, die Beiträge der Versicherten und der </w:t>
      </w:r>
      <w:proofErr w:type="spellStart"/>
      <w:r w:rsidRPr="001555C8">
        <w:t>Arbeitgebenden</w:t>
      </w:r>
      <w:proofErr w:type="spellEnd"/>
      <w:r w:rsidRPr="001555C8">
        <w:t xml:space="preserve"> sowie die Zinsen auf dem </w:t>
      </w:r>
      <w:r w:rsidR="00310608" w:rsidRPr="001555C8">
        <w:t>Alterskapital</w:t>
      </w:r>
      <w:r w:rsidRPr="001555C8">
        <w:t>.</w:t>
      </w:r>
    </w:p>
    <w:p w:rsidR="00615738" w:rsidRPr="001555C8" w:rsidRDefault="00615738" w:rsidP="00615738">
      <w:pPr>
        <w:spacing w:line="280" w:lineRule="atLeast"/>
        <w:jc w:val="both"/>
      </w:pPr>
    </w:p>
    <w:p w:rsidR="00615738" w:rsidRPr="001555C8" w:rsidRDefault="00615738" w:rsidP="00615738">
      <w:pPr>
        <w:spacing w:line="280" w:lineRule="atLeast"/>
        <w:jc w:val="both"/>
      </w:pPr>
      <w:r w:rsidRPr="001555C8">
        <w:t xml:space="preserve">Das so gebildete </w:t>
      </w:r>
      <w:r w:rsidR="00310608" w:rsidRPr="001555C8">
        <w:t xml:space="preserve">Alterskapital </w:t>
      </w:r>
      <w:r w:rsidRPr="001555C8">
        <w:t>wird bei Erreichen des Rentenalters mit dem Umwandlung</w:t>
      </w:r>
      <w:r w:rsidRPr="001555C8">
        <w:t>s</w:t>
      </w:r>
      <w:r w:rsidRPr="001555C8">
        <w:t xml:space="preserve">satz in eine Altersrente umgewandelt. Der Umwandlungssatz beruht einerseits auf der Lebenserwartung </w:t>
      </w:r>
      <w:r w:rsidRPr="001555C8">
        <w:rPr>
          <w:spacing w:val="4"/>
        </w:rPr>
        <w:t>und andererseits auf dem technischen Zinssatz. Bei der Lebenserwa</w:t>
      </w:r>
      <w:r w:rsidRPr="001555C8">
        <w:rPr>
          <w:spacing w:val="4"/>
        </w:rPr>
        <w:t>r</w:t>
      </w:r>
      <w:r w:rsidRPr="001555C8">
        <w:rPr>
          <w:spacing w:val="4"/>
        </w:rPr>
        <w:t xml:space="preserve">tung werden auch die </w:t>
      </w:r>
      <w:proofErr w:type="spellStart"/>
      <w:r w:rsidRPr="001555C8">
        <w:rPr>
          <w:spacing w:val="4"/>
        </w:rPr>
        <w:t>anwartschaftlichen</w:t>
      </w:r>
      <w:proofErr w:type="spellEnd"/>
      <w:r w:rsidRPr="001555C8">
        <w:rPr>
          <w:spacing w:val="4"/>
        </w:rPr>
        <w:t xml:space="preserve"> </w:t>
      </w:r>
      <w:proofErr w:type="spellStart"/>
      <w:r w:rsidRPr="001555C8">
        <w:rPr>
          <w:spacing w:val="4"/>
        </w:rPr>
        <w:t>Hinterlassenenrenten</w:t>
      </w:r>
      <w:proofErr w:type="spellEnd"/>
      <w:r w:rsidRPr="001555C8">
        <w:rPr>
          <w:spacing w:val="4"/>
        </w:rPr>
        <w:t xml:space="preserve"> berücksichtigt, welche nach dem Tod einer Person entstehe</w:t>
      </w:r>
      <w:r w:rsidRPr="001555C8">
        <w:t xml:space="preserve">n, die eine Alters- oder Invalidenrente bezogen hat. </w:t>
      </w:r>
    </w:p>
    <w:p w:rsidR="001B3268" w:rsidRPr="001555C8" w:rsidRDefault="001B3268" w:rsidP="00615738">
      <w:pPr>
        <w:spacing w:line="280" w:lineRule="atLeast"/>
        <w:jc w:val="both"/>
      </w:pPr>
    </w:p>
    <w:p w:rsidR="00615738" w:rsidRPr="001555C8" w:rsidRDefault="00615738" w:rsidP="00615738">
      <w:pPr>
        <w:spacing w:line="280" w:lineRule="atLeast"/>
        <w:jc w:val="both"/>
      </w:pPr>
      <w:r w:rsidRPr="001555C8">
        <w:t xml:space="preserve">Bei den Invalidenrenten und den </w:t>
      </w:r>
      <w:proofErr w:type="spellStart"/>
      <w:r w:rsidRPr="001555C8">
        <w:t>Hinterlassenenrenten</w:t>
      </w:r>
      <w:proofErr w:type="spellEnd"/>
      <w:r w:rsidRPr="001555C8">
        <w:t xml:space="preserve"> aufgrund des Todes einer versicherten </w:t>
      </w:r>
      <w:r w:rsidRPr="001555C8">
        <w:rPr>
          <w:spacing w:val="2"/>
        </w:rPr>
        <w:t xml:space="preserve">Person vor Erreichen des Rentenalters wird dem Umstand Rechnung getragen, dass das </w:t>
      </w:r>
      <w:r w:rsidR="00310608" w:rsidRPr="001555C8">
        <w:t xml:space="preserve">Alterskapital </w:t>
      </w:r>
      <w:r w:rsidRPr="001555C8">
        <w:t>noch nicht vollständig aufgebaut wurde, sei es, dass diese so genannten Risikoleistungen auf der Grundlage des versicherten Lohns festgesetzt werden (in diesem Fall spricht man häufig von einem Duoprimat)</w:t>
      </w:r>
      <w:r w:rsidR="00466C1D" w:rsidRPr="001555C8">
        <w:t>,</w:t>
      </w:r>
      <w:r w:rsidRPr="001555C8">
        <w:t xml:space="preserve"> sei es, dass die noch fehlenden Altersgutschriften bis zum Erreichen des ordentlichen Rücktrittsalters hochgerechnet werden.</w:t>
      </w:r>
    </w:p>
    <w:p w:rsidR="00615738" w:rsidRPr="001555C8" w:rsidRDefault="00615738" w:rsidP="00615738">
      <w:pPr>
        <w:spacing w:line="280" w:lineRule="atLeast"/>
        <w:jc w:val="both"/>
      </w:pPr>
    </w:p>
    <w:p w:rsidR="00615738" w:rsidRPr="001555C8" w:rsidRDefault="00615738" w:rsidP="00615738">
      <w:pPr>
        <w:spacing w:line="280" w:lineRule="atLeast"/>
        <w:jc w:val="both"/>
      </w:pPr>
      <w:r w:rsidRPr="001555C8">
        <w:t xml:space="preserve">In der Regel liegt auch dem Beitragsprimat ein Leistungsziel zu Grunde. Die Beiträge werden auf der Grundlage einer angenommenen </w:t>
      </w:r>
      <w:r w:rsidR="00B36059" w:rsidRPr="001555C8">
        <w:t>"</w:t>
      </w:r>
      <w:r w:rsidRPr="001555C8">
        <w:t>Realverzinsung</w:t>
      </w:r>
      <w:r w:rsidR="00B36059" w:rsidRPr="001555C8">
        <w:t>"</w:t>
      </w:r>
      <w:r w:rsidRPr="001555C8">
        <w:t xml:space="preserve"> festgesetzt um ein bestimmtes Leistungsziel in Prozent des versicherten Lohnes zu erhalten. Dieses Ziel ist aber modellmässig, d.h. es kann nur erreicht werden, wenn sich die getroffenen Annahmen auch realisieren lassen.</w:t>
      </w:r>
    </w:p>
    <w:p w:rsidR="001B3268" w:rsidRPr="001555C8" w:rsidRDefault="001B3268" w:rsidP="001B3268">
      <w:pPr>
        <w:pStyle w:val="berschrift2"/>
        <w:tabs>
          <w:tab w:val="clear" w:pos="992"/>
          <w:tab w:val="clear" w:pos="2836"/>
        </w:tabs>
        <w:ind w:left="426" w:hanging="426"/>
        <w:rPr>
          <w:lang w:eastAsia="de-CH"/>
        </w:rPr>
      </w:pPr>
      <w:bookmarkStart w:id="67" w:name="_Toc358786202"/>
      <w:r w:rsidRPr="001555C8">
        <w:rPr>
          <w:lang w:eastAsia="de-CH"/>
        </w:rPr>
        <w:t>Gegenüberstellung von Leistungs- und Beitragsprimat</w:t>
      </w:r>
      <w:bookmarkEnd w:id="67"/>
    </w:p>
    <w:p w:rsidR="001B3268" w:rsidRPr="001555C8" w:rsidRDefault="001B3268" w:rsidP="001B3268">
      <w:pPr>
        <w:pStyle w:val="berschrift3"/>
        <w:rPr>
          <w:lang w:eastAsia="de-CH"/>
        </w:rPr>
      </w:pPr>
      <w:bookmarkStart w:id="68" w:name="_Toc358786203"/>
      <w:r w:rsidRPr="001555C8">
        <w:rPr>
          <w:lang w:eastAsia="de-CH"/>
        </w:rPr>
        <w:t>Allgemeines</w:t>
      </w:r>
      <w:bookmarkEnd w:id="68"/>
    </w:p>
    <w:p w:rsidR="003960A8" w:rsidRPr="001555C8" w:rsidRDefault="003960A8" w:rsidP="003960A8">
      <w:pPr>
        <w:spacing w:line="280" w:lineRule="exact"/>
        <w:jc w:val="both"/>
      </w:pPr>
      <w:r w:rsidRPr="001555C8">
        <w:t xml:space="preserve">Vorerst muss festgehalten werden, dass der Rentenfranken in beiden Primaten gleich teuer ist. </w:t>
      </w:r>
      <w:r w:rsidRPr="001555C8">
        <w:rPr>
          <w:spacing w:val="-2"/>
        </w:rPr>
        <w:t xml:space="preserve">Auch die Feststellung, dass eines der beiden Primate für die Versicherten oder die </w:t>
      </w:r>
      <w:proofErr w:type="spellStart"/>
      <w:r w:rsidRPr="001555C8">
        <w:rPr>
          <w:spacing w:val="-2"/>
        </w:rPr>
        <w:t>Arbeitgebenden</w:t>
      </w:r>
      <w:proofErr w:type="spellEnd"/>
      <w:r w:rsidRPr="001555C8">
        <w:t xml:space="preserve"> </w:t>
      </w:r>
      <w:r w:rsidRPr="001555C8">
        <w:rPr>
          <w:spacing w:val="4"/>
        </w:rPr>
        <w:t>vorteilhafter oder nachteiliger ist, wäre zu kurz gegriffen. Das Leistungsprimat vermittelt den Versicherten</w:t>
      </w:r>
      <w:r w:rsidRPr="001555C8">
        <w:t xml:space="preserve"> </w:t>
      </w:r>
      <w:r w:rsidRPr="001555C8">
        <w:rPr>
          <w:spacing w:val="-2"/>
        </w:rPr>
        <w:t>eine grössere Sicherheit in Bezug auf die zu erwartende Rente als das Beitragsprimat</w:t>
      </w:r>
      <w:r w:rsidRPr="001555C8">
        <w:t xml:space="preserve">. Diese "Sicherheit" kann jedoch auch trügerisch sein. Auch bei einem Leistungsprimat müssen die Leistungen angepasst werden, wenn eine strukturelle Unterfinanzierung oder wenn Anpassungen in den versicherungstechnischen Grundlagen oder insbesondere wenn die effektive Anlagerendite </w:t>
      </w:r>
      <w:r w:rsidRPr="001555C8">
        <w:rPr>
          <w:spacing w:val="4"/>
        </w:rPr>
        <w:t>unter dem technischen Zinssatz liegt und dies nicht durch zusätzliche Einnahmen korrigiert werden kann</w:t>
      </w:r>
      <w:r w:rsidRPr="001555C8">
        <w:t>.</w:t>
      </w:r>
    </w:p>
    <w:p w:rsidR="003960A8" w:rsidRPr="001555C8" w:rsidRDefault="003960A8" w:rsidP="003960A8">
      <w:pPr>
        <w:spacing w:line="280" w:lineRule="exact"/>
        <w:jc w:val="both"/>
      </w:pPr>
    </w:p>
    <w:p w:rsidR="003960A8" w:rsidRPr="001555C8" w:rsidRDefault="003960A8" w:rsidP="003960A8">
      <w:pPr>
        <w:spacing w:line="280" w:lineRule="exact"/>
        <w:jc w:val="both"/>
      </w:pPr>
      <w:r w:rsidRPr="001555C8">
        <w:t xml:space="preserve">Der wohl wichtigste Vorteil des Beitragsprimats liegt in der flexiblen Verzinsung der </w:t>
      </w:r>
      <w:r w:rsidR="00310608" w:rsidRPr="001555C8">
        <w:t>Altersguthaben</w:t>
      </w:r>
      <w:r w:rsidRPr="001555C8">
        <w:t xml:space="preserve">. Die Vorsorgeeinrichtung kann die </w:t>
      </w:r>
      <w:r w:rsidR="00310608" w:rsidRPr="001555C8">
        <w:t xml:space="preserve">Alterskapitalien </w:t>
      </w:r>
      <w:r w:rsidRPr="001555C8">
        <w:t xml:space="preserve">der aktiven Versicherten in bestimmten Grenzen entsprechend dem Ertrag der Vermögensanlage verzinsen. Im Leistungsprimat werden dagegen die Vorsorgekapitalien der aktiven Versicherten und der Rentenbeziehenden auf der Grundlage </w:t>
      </w:r>
      <w:r w:rsidRPr="001555C8">
        <w:rPr>
          <w:spacing w:val="4"/>
        </w:rPr>
        <w:t>des technischen Zinssatzes berechnet, der auf eine längere Dauer festgesetzt wird. Mit der Flexibilität</w:t>
      </w:r>
      <w:r w:rsidRPr="001555C8">
        <w:t xml:space="preserve"> der Verzinsung wird ein Finanzierungsrisiko für die Pensionskasse vermindert. Diese Flexibilität wirkt sich im Übrigen nicht nachteilig auf die Versicherten aus. Welchen Entscheid man immer auch zur Frage der Voll- oder der Teilkapitalisierung treffen mag, das neue BVG lässt keine Unterdeckung beziehungsweise Absinken des Deckungsgrads zu und zwingt das oberste Organ </w:t>
      </w:r>
      <w:r w:rsidRPr="001555C8">
        <w:rPr>
          <w:spacing w:val="2"/>
        </w:rPr>
        <w:t>zur Wiederherstellung der vollen Deckung, sei es im Falle einer Unterschreitung des Ausgangsdeckungsgrade</w:t>
      </w:r>
      <w:r w:rsidRPr="001555C8">
        <w:t xml:space="preserve"> oder einem Zurückfallen im Finanzierungsplan (Teilkapitalisi</w:t>
      </w:r>
      <w:r w:rsidRPr="001555C8">
        <w:t>e</w:t>
      </w:r>
      <w:r w:rsidRPr="001555C8">
        <w:t>rung), sei es bei einer Unterschreitung des Deckungsgrades von 100 Prozent (Vollkapitalisi</w:t>
      </w:r>
      <w:r w:rsidRPr="001555C8">
        <w:t>e</w:t>
      </w:r>
      <w:r w:rsidRPr="001555C8">
        <w:t>rung).</w:t>
      </w:r>
    </w:p>
    <w:p w:rsidR="003960A8" w:rsidRPr="001555C8" w:rsidRDefault="003960A8" w:rsidP="003960A8">
      <w:pPr>
        <w:spacing w:line="280" w:lineRule="exact"/>
        <w:jc w:val="both"/>
      </w:pPr>
    </w:p>
    <w:p w:rsidR="003960A8" w:rsidRPr="001555C8" w:rsidRDefault="003960A8" w:rsidP="003960A8">
      <w:pPr>
        <w:spacing w:line="280" w:lineRule="exact"/>
        <w:jc w:val="both"/>
      </w:pPr>
      <w:r w:rsidRPr="001555C8">
        <w:t xml:space="preserve">Dass sich bezüglich der Massnahmen, die im Falle ungenügender Anlageerträge zu ergreifen sind, Beitragsprimat und Leistungsprimat nicht grundsätzlich unterscheiden, zeigt sich auch am </w:t>
      </w:r>
      <w:r w:rsidRPr="001555C8">
        <w:rPr>
          <w:spacing w:val="2"/>
        </w:rPr>
        <w:t>Beispiel privatrechtlicher Vorsorgeeinrichtungen im Leistungsprimat. In der Praxis werden bei diesen</w:t>
      </w:r>
      <w:r w:rsidRPr="001555C8">
        <w:t xml:space="preserve"> Vorsorgeeinrichtungen im Falle einer Unterdeckung nicht nur höhere Beiträge erhoben, </w:t>
      </w:r>
      <w:r w:rsidRPr="001555C8">
        <w:rPr>
          <w:spacing w:val="2"/>
        </w:rPr>
        <w:t>sondern es werden auch Massnahmen beschlossen, welche Auswirkungen auf die Höhe der versicherten</w:t>
      </w:r>
      <w:r w:rsidRPr="001555C8">
        <w:t xml:space="preserve"> Leistungen haben.</w:t>
      </w:r>
    </w:p>
    <w:p w:rsidR="003960A8" w:rsidRPr="001555C8" w:rsidRDefault="003960A8" w:rsidP="003960A8">
      <w:pPr>
        <w:spacing w:line="280" w:lineRule="exact"/>
        <w:jc w:val="both"/>
      </w:pPr>
    </w:p>
    <w:p w:rsidR="003960A8" w:rsidRPr="001555C8" w:rsidRDefault="003960A8" w:rsidP="003960A8">
      <w:pPr>
        <w:spacing w:line="280" w:lineRule="exact"/>
        <w:jc w:val="both"/>
      </w:pPr>
      <w:r w:rsidRPr="001555C8">
        <w:t xml:space="preserve">Für die Versicherten wirken sich ungenügende Vermögenserträge im Beitragsprimat kurzfristig in einer schlechteren Verzinsung der </w:t>
      </w:r>
      <w:r w:rsidR="00310608" w:rsidRPr="001555C8">
        <w:t>Alterskapital</w:t>
      </w:r>
      <w:r w:rsidRPr="001555C8">
        <w:t xml:space="preserve">ien aus. Sie können auch zu einer Unterdeckung führen, die behoben werden muss. Langfristig führt eine nachhaltig schlechte Rendite zu einer Senkung des technischen Zinssatzes und damit zu einer Senkung des Umwandlungssatzes. Eine Plananpassung ist vor allem aber auch dann notwendig, wenn der technische Zinssatz mit der Vermögensanlage nicht erwirtschaftet werden kann. Vor dieser Entwicklung ist aber auch das Leistungsprimat nicht gefeit. Unabhängig vom gewählten Vorsorgeprimat steht das oberste Organ einer Vorsorge in diesem Fall vor der Alternative einer Kürzung der Leistungen oder der Verstärkung der Finanzierung. Aus der Sicht der Versicherten mag im Leistungsprimat zwar die in Aussicht gestellte Leistung transparenter dargestellt werden als im Beitragsprimat. Dafür ist im Beitragsprimat die Freizügigkeitsleistung wesentlich einfacher nachvollziehbar als im Leistungsprimat. Die kollektive Finanzierung im Leistungsprimat und der damit verbundene Tarif </w:t>
      </w:r>
      <w:r w:rsidRPr="001555C8">
        <w:rPr>
          <w:spacing w:val="6"/>
        </w:rPr>
        <w:t>für die Berechnung der Freizügigkeitsleistungen, welcher mit zunehmendem Alter zu einer verstärkten</w:t>
      </w:r>
      <w:r w:rsidRPr="001555C8">
        <w:t xml:space="preserve"> Kapitalisierung führt, können für jüngere Versicherte, welche die Vorsorgeeinrichtung verlassen, nachteilig sein. </w:t>
      </w:r>
    </w:p>
    <w:p w:rsidR="003960A8" w:rsidRPr="001555C8" w:rsidRDefault="003960A8" w:rsidP="003960A8">
      <w:pPr>
        <w:spacing w:line="280" w:lineRule="exact"/>
        <w:jc w:val="both"/>
      </w:pPr>
    </w:p>
    <w:p w:rsidR="00225B79" w:rsidRPr="001555C8" w:rsidRDefault="00B534B7" w:rsidP="003960A8">
      <w:pPr>
        <w:pStyle w:val="Textkrper"/>
      </w:pPr>
      <w:r w:rsidRPr="001555C8">
        <w:rPr>
          <w:spacing w:val="-2"/>
        </w:rPr>
        <w:t>Das</w:t>
      </w:r>
      <w:r w:rsidR="003960A8" w:rsidRPr="001555C8">
        <w:rPr>
          <w:spacing w:val="-2"/>
        </w:rPr>
        <w:t xml:space="preserve"> Leistungsprimat </w:t>
      </w:r>
      <w:r w:rsidRPr="001555C8">
        <w:rPr>
          <w:spacing w:val="-2"/>
        </w:rPr>
        <w:t xml:space="preserve">kann </w:t>
      </w:r>
      <w:r w:rsidR="003960A8" w:rsidRPr="001555C8">
        <w:rPr>
          <w:spacing w:val="-2"/>
        </w:rPr>
        <w:t>sehr teuer werden, wenn sich das Durchschnittsalter</w:t>
      </w:r>
      <w:r w:rsidR="003960A8" w:rsidRPr="001555C8">
        <w:t xml:space="preserve"> </w:t>
      </w:r>
      <w:r w:rsidR="003960A8" w:rsidRPr="001555C8">
        <w:rPr>
          <w:spacing w:val="4"/>
        </w:rPr>
        <w:t>der Versicherten erhöht und die Lohnerhöhungen voll nachfinanziert werden müssen. Die ungenügende</w:t>
      </w:r>
      <w:r w:rsidR="003960A8" w:rsidRPr="001555C8">
        <w:t xml:space="preserve"> Nachfinanzierung von Lohnerhöhungen ist denn auch eine wichtige Ursache für die versicherungstechnischen Fehlbeträge öffentlich-rechtlicher Vorsorgeeinrichtungen</w:t>
      </w:r>
      <w:r w:rsidR="003960A8" w:rsidRPr="001555C8">
        <w:rPr>
          <w:rStyle w:val="Funotenzeichen"/>
        </w:rPr>
        <w:footnoteReference w:id="5"/>
      </w:r>
      <w:r w:rsidR="003960A8" w:rsidRPr="001555C8">
        <w:t>.</w:t>
      </w:r>
    </w:p>
    <w:p w:rsidR="0020364A" w:rsidRPr="001555C8" w:rsidRDefault="0020364A" w:rsidP="0020364A">
      <w:pPr>
        <w:pStyle w:val="berschrift3"/>
        <w:rPr>
          <w:lang w:eastAsia="de-CH"/>
        </w:rPr>
      </w:pPr>
      <w:bookmarkStart w:id="69" w:name="_Toc358786204"/>
      <w:r w:rsidRPr="001555C8">
        <w:rPr>
          <w:lang w:eastAsia="de-CH"/>
        </w:rPr>
        <w:t>Personalpolitische Ziele</w:t>
      </w:r>
      <w:bookmarkEnd w:id="69"/>
    </w:p>
    <w:p w:rsidR="0020364A" w:rsidRPr="001555C8" w:rsidRDefault="0020364A" w:rsidP="0020364A">
      <w:pPr>
        <w:spacing w:line="280" w:lineRule="exact"/>
        <w:jc w:val="both"/>
      </w:pPr>
      <w:r w:rsidRPr="001555C8">
        <w:t xml:space="preserve">Aufgrund des demographischen Wandels muss es dem Arbeitgeber Stadt Olten </w:t>
      </w:r>
      <w:r w:rsidRPr="001555C8">
        <w:rPr>
          <w:spacing w:val="4"/>
        </w:rPr>
        <w:t>gelingen, gut ausgebildete Frauen und Männer während der Phase der Kinderbetreuung im Arbeitsprozess</w:t>
      </w:r>
      <w:r w:rsidRPr="001555C8">
        <w:t xml:space="preserve"> zu behalten. Dies gelingt nur, wenn der Arbeitgeber Möglichkeiten schafft, Beruf und Familie optimal zu kombinieren. </w:t>
      </w:r>
    </w:p>
    <w:p w:rsidR="0020364A" w:rsidRPr="001555C8" w:rsidRDefault="0020364A" w:rsidP="0020364A">
      <w:pPr>
        <w:spacing w:line="280" w:lineRule="exact"/>
        <w:jc w:val="both"/>
        <w:rPr>
          <w:strike/>
        </w:rPr>
      </w:pPr>
    </w:p>
    <w:p w:rsidR="0020364A" w:rsidRPr="001555C8" w:rsidRDefault="0020364A" w:rsidP="0020364A">
      <w:pPr>
        <w:spacing w:line="280" w:lineRule="exact"/>
        <w:jc w:val="both"/>
        <w:rPr>
          <w:rFonts w:cs="Arial"/>
          <w:szCs w:val="22"/>
        </w:rPr>
      </w:pPr>
      <w:r w:rsidRPr="001555C8">
        <w:rPr>
          <w:rFonts w:cs="Arial"/>
          <w:szCs w:val="22"/>
        </w:rPr>
        <w:t xml:space="preserve">Es gilt deshalb, auch den Vorsorgebereich an die aktuellen Bedürfnisse in der Arbeitswelt </w:t>
      </w:r>
      <w:r w:rsidRPr="001555C8">
        <w:rPr>
          <w:rFonts w:cs="Arial"/>
          <w:spacing w:val="2"/>
          <w:szCs w:val="22"/>
        </w:rPr>
        <w:t xml:space="preserve">anzupassen. Dabei vermag das Beitragsprimat rasche und öfters eintretende Veränderungen der </w:t>
      </w:r>
      <w:r w:rsidRPr="001555C8">
        <w:rPr>
          <w:rFonts w:cs="Arial"/>
          <w:spacing w:val="-2"/>
          <w:szCs w:val="22"/>
        </w:rPr>
        <w:t>Erwerbssituation vorsorgemässig flexibler und besser zu bewältigen. So wären die auf die berufliche</w:t>
      </w:r>
      <w:r w:rsidRPr="001555C8">
        <w:rPr>
          <w:rFonts w:cs="Arial"/>
          <w:szCs w:val="22"/>
        </w:rPr>
        <w:t xml:space="preserve"> Vorsorge bezogenen Konsequenzen von – auch unterjährig </w:t>
      </w:r>
      <w:r w:rsidRPr="001555C8">
        <w:t>–</w:t>
      </w:r>
      <w:r w:rsidRPr="001555C8">
        <w:rPr>
          <w:rFonts w:cs="Arial"/>
          <w:szCs w:val="22"/>
        </w:rPr>
        <w:t xml:space="preserve"> wechselnden </w:t>
      </w:r>
      <w:proofErr w:type="spellStart"/>
      <w:r w:rsidRPr="001555C8">
        <w:rPr>
          <w:rFonts w:cs="Arial"/>
          <w:szCs w:val="22"/>
        </w:rPr>
        <w:t>Arbeitspensen</w:t>
      </w:r>
      <w:proofErr w:type="spellEnd"/>
      <w:r w:rsidRPr="001555C8">
        <w:rPr>
          <w:rFonts w:cs="Arial"/>
          <w:szCs w:val="22"/>
        </w:rPr>
        <w:t xml:space="preserve"> mit </w:t>
      </w:r>
      <w:r w:rsidRPr="001555C8">
        <w:rPr>
          <w:rFonts w:cs="Arial"/>
          <w:spacing w:val="-2"/>
          <w:szCs w:val="22"/>
        </w:rPr>
        <w:t>schwankenden Einkommen, Wechsel des Beschäftigung</w:t>
      </w:r>
      <w:r w:rsidRPr="001555C8">
        <w:rPr>
          <w:rFonts w:cs="Arial"/>
          <w:spacing w:val="-2"/>
          <w:szCs w:val="22"/>
        </w:rPr>
        <w:t>s</w:t>
      </w:r>
      <w:r w:rsidRPr="001555C8">
        <w:rPr>
          <w:rFonts w:cs="Arial"/>
          <w:spacing w:val="-2"/>
          <w:szCs w:val="22"/>
        </w:rPr>
        <w:t>grades, Erwerbsunterbrüchen zu Gunsten</w:t>
      </w:r>
      <w:r w:rsidRPr="001555C8">
        <w:rPr>
          <w:rFonts w:cs="Arial"/>
          <w:szCs w:val="22"/>
        </w:rPr>
        <w:t xml:space="preserve"> </w:t>
      </w:r>
      <w:r w:rsidRPr="001555C8">
        <w:rPr>
          <w:rFonts w:cs="Arial"/>
          <w:spacing w:val="-2"/>
          <w:szCs w:val="22"/>
        </w:rPr>
        <w:t>der Familienarbeit oder zu Weiterbildungszwecken, als Beispiele zu nennen. In einem Beitragsprimat</w:t>
      </w:r>
      <w:r w:rsidRPr="001555C8">
        <w:rPr>
          <w:rFonts w:cs="Arial"/>
          <w:szCs w:val="22"/>
        </w:rPr>
        <w:t xml:space="preserve"> wären diese Veränderungen einfacher zu überschauen und im Voraus planbar. Die Mitarbeitenden können somit ihre persönlichen und beruflichen Entscheidungen freier und weniger abhängig von vorsorgemässigen Auswirkungen treffen.</w:t>
      </w:r>
    </w:p>
    <w:p w:rsidR="0020364A" w:rsidRPr="001555C8" w:rsidRDefault="0020364A" w:rsidP="0020364A">
      <w:pPr>
        <w:spacing w:line="280" w:lineRule="exact"/>
        <w:jc w:val="both"/>
        <w:rPr>
          <w:rFonts w:cs="Arial"/>
          <w:szCs w:val="22"/>
        </w:rPr>
      </w:pPr>
    </w:p>
    <w:p w:rsidR="0020364A" w:rsidRPr="001555C8" w:rsidRDefault="0020364A" w:rsidP="0020364A">
      <w:pPr>
        <w:pStyle w:val="Textkrper"/>
      </w:pPr>
      <w:r w:rsidRPr="001555C8">
        <w:rPr>
          <w:rFonts w:cs="Arial"/>
          <w:szCs w:val="22"/>
        </w:rPr>
        <w:t xml:space="preserve">Sowohl bei den Leistungen wie auch bei der Finanzierung sind Transparenz und Verständlichkeit gefordert. Transparenz und Verständlichkeit sind Voraussetzungen für Vertrauen in die berufliche Vorsorge: Der Anspruch besteht sowohl von Seiten der Versicherten als auch der </w:t>
      </w:r>
      <w:proofErr w:type="spellStart"/>
      <w:r w:rsidRPr="001555C8">
        <w:rPr>
          <w:rFonts w:cs="Arial"/>
          <w:szCs w:val="22"/>
        </w:rPr>
        <w:t>Arbeitgebenden</w:t>
      </w:r>
      <w:proofErr w:type="spellEnd"/>
      <w:r w:rsidRPr="001555C8">
        <w:rPr>
          <w:rFonts w:cs="Arial"/>
          <w:szCs w:val="22"/>
        </w:rPr>
        <w:t>, dass sowohl die Leistungen als auch die dafür entstehenden Kosten einfach nachvollziehbar und auch kalkulierbar sind.</w:t>
      </w:r>
    </w:p>
    <w:p w:rsidR="0020364A" w:rsidRPr="001555C8" w:rsidRDefault="0020364A" w:rsidP="0020364A">
      <w:pPr>
        <w:pStyle w:val="berschrift3"/>
        <w:rPr>
          <w:lang w:eastAsia="de-CH"/>
        </w:rPr>
      </w:pPr>
      <w:bookmarkStart w:id="70" w:name="_Ref354581372"/>
      <w:bookmarkStart w:id="71" w:name="_Toc358786205"/>
      <w:r w:rsidRPr="001555C8">
        <w:rPr>
          <w:lang w:eastAsia="de-CH"/>
        </w:rPr>
        <w:t>Kollektive Finanzierung</w:t>
      </w:r>
      <w:bookmarkEnd w:id="70"/>
      <w:bookmarkEnd w:id="71"/>
    </w:p>
    <w:p w:rsidR="0020364A" w:rsidRPr="001555C8" w:rsidRDefault="0020364A" w:rsidP="0020364A">
      <w:pPr>
        <w:widowControl w:val="0"/>
        <w:spacing w:line="280" w:lineRule="exact"/>
        <w:jc w:val="both"/>
        <w:rPr>
          <w:rFonts w:cs="Arial"/>
          <w:szCs w:val="22"/>
        </w:rPr>
      </w:pPr>
      <w:r w:rsidRPr="001555C8">
        <w:rPr>
          <w:spacing w:val="4"/>
        </w:rPr>
        <w:t xml:space="preserve">Die kollektive Finanzierung des Leistungsprimats </w:t>
      </w:r>
      <w:r w:rsidRPr="001555C8">
        <w:rPr>
          <w:rFonts w:cs="Arial"/>
          <w:spacing w:val="4"/>
          <w:szCs w:val="22"/>
        </w:rPr>
        <w:t>ist auf herkömmliche Erwerbskarrieren zugeschnitten</w:t>
      </w:r>
      <w:r w:rsidRPr="001555C8">
        <w:rPr>
          <w:rFonts w:cs="Arial"/>
          <w:szCs w:val="22"/>
        </w:rPr>
        <w:t xml:space="preserve">, in welchen Mitarbeitende oft jahrzehntelang im gleichen Beruf, oft auch beim selben Arbeitgeber und mit einem konstanten Beschäftigungsgrad bei kontinuierlich verlaufender Lohnentwicklung angestellt waren. Aus diesem Grund erfolgt die Kapitalisierung im Leistungsprimat </w:t>
      </w:r>
      <w:r w:rsidRPr="001555C8">
        <w:rPr>
          <w:rFonts w:cs="Arial"/>
          <w:spacing w:val="2"/>
          <w:szCs w:val="22"/>
        </w:rPr>
        <w:t xml:space="preserve">relativ langsam. Sie ist in jungen Jahren schwach und verstärkt sich in der zweiten Hälfte der </w:t>
      </w:r>
      <w:r w:rsidRPr="001555C8">
        <w:rPr>
          <w:rFonts w:cs="Arial"/>
          <w:spacing w:val="-2"/>
          <w:szCs w:val="22"/>
        </w:rPr>
        <w:t>Erwerbskarriere. Dies ist denn auch mit ein Grund, weshalb bei der Berechnung der Freizügigkeitsleistung</w:t>
      </w:r>
      <w:r w:rsidRPr="001555C8">
        <w:rPr>
          <w:rFonts w:cs="Arial"/>
          <w:szCs w:val="22"/>
        </w:rPr>
        <w:t xml:space="preserve"> im Leistungsprimat Mindestgarantien notwendig sind, was auf Kosten der Transparenz </w:t>
      </w:r>
      <w:r w:rsidRPr="001555C8">
        <w:rPr>
          <w:rFonts w:cs="Arial"/>
          <w:spacing w:val="2"/>
          <w:szCs w:val="22"/>
        </w:rPr>
        <w:t xml:space="preserve">geht. In der kollektiven Finanzierung leisten jüngere tendenziell zu hohe Beiträge und ältere </w:t>
      </w:r>
      <w:r w:rsidRPr="001555C8">
        <w:rPr>
          <w:rFonts w:cs="Arial"/>
          <w:spacing w:val="-2"/>
          <w:szCs w:val="22"/>
        </w:rPr>
        <w:t>Versicherte zu tiefe. Jüngere Versicherte finanzieren ihre Altersleistung somit teilweise vor. Scheiden</w:t>
      </w:r>
      <w:r w:rsidRPr="001555C8">
        <w:rPr>
          <w:rFonts w:cs="Arial"/>
          <w:szCs w:val="22"/>
        </w:rPr>
        <w:t xml:space="preserve"> sie vor der Pensionierung aus der Pensionskasse aus, können Finanzierungsgewinne entstehen, </w:t>
      </w:r>
      <w:r w:rsidRPr="001555C8">
        <w:rPr>
          <w:rFonts w:cs="Arial"/>
          <w:spacing w:val="-2"/>
          <w:szCs w:val="22"/>
        </w:rPr>
        <w:t>welche für die Finanzierung der gesamten Vorsorge der Pensionskasse eingesetzt werden können.</w:t>
      </w:r>
      <w:r w:rsidRPr="001555C8">
        <w:rPr>
          <w:rFonts w:cs="Arial"/>
          <w:szCs w:val="22"/>
        </w:rPr>
        <w:t xml:space="preserve"> Die Auswirkungen der kollektiven Finanzierung zeigen sich mit aller Deutlichkeit beim </w:t>
      </w:r>
      <w:proofErr w:type="spellStart"/>
      <w:r w:rsidRPr="001555C8">
        <w:rPr>
          <w:rFonts w:cs="Arial"/>
          <w:szCs w:val="22"/>
        </w:rPr>
        <w:t>Primatwechsel</w:t>
      </w:r>
      <w:proofErr w:type="spellEnd"/>
      <w:r w:rsidRPr="001555C8">
        <w:rPr>
          <w:rFonts w:cs="Arial"/>
          <w:szCs w:val="22"/>
        </w:rPr>
        <w:t xml:space="preserve">. Beim </w:t>
      </w:r>
      <w:proofErr w:type="spellStart"/>
      <w:r w:rsidRPr="001555C8">
        <w:rPr>
          <w:rFonts w:cs="Arial"/>
          <w:szCs w:val="22"/>
        </w:rPr>
        <w:t>Primatwechsel</w:t>
      </w:r>
      <w:proofErr w:type="spellEnd"/>
      <w:r w:rsidRPr="001555C8">
        <w:rPr>
          <w:rFonts w:cs="Arial"/>
          <w:szCs w:val="22"/>
        </w:rPr>
        <w:t xml:space="preserve"> werden die Versicherten von der kollektiven auf eine individuelle </w:t>
      </w:r>
      <w:r w:rsidRPr="001555C8">
        <w:rPr>
          <w:rFonts w:cs="Arial"/>
          <w:spacing w:val="-2"/>
          <w:szCs w:val="22"/>
        </w:rPr>
        <w:t>Finanzierung umgestellt und ihr vorfinanzierter Teil bricht weg. Dieser Effekt kann auch mit höheren</w:t>
      </w:r>
      <w:r w:rsidRPr="001555C8">
        <w:rPr>
          <w:rFonts w:cs="Arial"/>
          <w:szCs w:val="22"/>
        </w:rPr>
        <w:t xml:space="preserve"> Beiträgen und Zinsen nicht vollständig ausgeglichen werden, weshalb oft </w:t>
      </w:r>
      <w:proofErr w:type="spellStart"/>
      <w:r w:rsidRPr="001555C8">
        <w:rPr>
          <w:rFonts w:cs="Arial"/>
          <w:szCs w:val="22"/>
        </w:rPr>
        <w:t>Besitzstandseinl</w:t>
      </w:r>
      <w:r w:rsidRPr="001555C8">
        <w:rPr>
          <w:rFonts w:cs="Arial"/>
          <w:szCs w:val="22"/>
        </w:rPr>
        <w:t>a</w:t>
      </w:r>
      <w:r w:rsidRPr="001555C8">
        <w:rPr>
          <w:rFonts w:cs="Arial"/>
          <w:szCs w:val="22"/>
        </w:rPr>
        <w:t>gen</w:t>
      </w:r>
      <w:proofErr w:type="spellEnd"/>
      <w:r w:rsidRPr="001555C8">
        <w:rPr>
          <w:rFonts w:cs="Arial"/>
          <w:szCs w:val="22"/>
        </w:rPr>
        <w:t xml:space="preserve"> vorgesehen werden.</w:t>
      </w:r>
    </w:p>
    <w:p w:rsidR="004C498C" w:rsidRPr="001555C8" w:rsidRDefault="004C498C" w:rsidP="004C498C">
      <w:pPr>
        <w:pStyle w:val="berschrift3"/>
        <w:rPr>
          <w:lang w:eastAsia="de-CH"/>
        </w:rPr>
      </w:pPr>
      <w:bookmarkStart w:id="72" w:name="_Toc358786206"/>
      <w:r w:rsidRPr="001555C8">
        <w:rPr>
          <w:lang w:eastAsia="de-CH"/>
        </w:rPr>
        <w:t>Transparenz und Verständlichkeit</w:t>
      </w:r>
      <w:bookmarkEnd w:id="72"/>
    </w:p>
    <w:p w:rsidR="004C498C" w:rsidRPr="001555C8" w:rsidRDefault="004C498C" w:rsidP="004C498C">
      <w:pPr>
        <w:spacing w:line="280" w:lineRule="exact"/>
        <w:jc w:val="both"/>
        <w:rPr>
          <w:rFonts w:cs="Arial"/>
          <w:szCs w:val="22"/>
        </w:rPr>
      </w:pPr>
      <w:r w:rsidRPr="001555C8">
        <w:rPr>
          <w:rFonts w:cs="Arial"/>
          <w:szCs w:val="22"/>
        </w:rPr>
        <w:t xml:space="preserve">Die erworbenen Leistungsansprüche, d.h. die individuelle Kapitalbildung, ist für den einzelnen Versicherten in einem Beitragsprimat besser nachvollziehbar und wesentlich transparenter als in einem Leistungsprimat. Für den </w:t>
      </w:r>
      <w:proofErr w:type="spellStart"/>
      <w:r w:rsidRPr="001555C8">
        <w:rPr>
          <w:rFonts w:cs="Arial"/>
          <w:szCs w:val="22"/>
        </w:rPr>
        <w:t>Arbeitgebenden</w:t>
      </w:r>
      <w:proofErr w:type="spellEnd"/>
      <w:r w:rsidRPr="001555C8">
        <w:rPr>
          <w:rFonts w:cs="Arial"/>
          <w:szCs w:val="22"/>
        </w:rPr>
        <w:t xml:space="preserve"> ist die Nachvollziehba</w:t>
      </w:r>
      <w:r w:rsidRPr="001555C8">
        <w:rPr>
          <w:rFonts w:cs="Arial"/>
          <w:szCs w:val="22"/>
        </w:rPr>
        <w:t>r</w:t>
      </w:r>
      <w:r w:rsidRPr="001555C8">
        <w:rPr>
          <w:rFonts w:cs="Arial"/>
          <w:szCs w:val="22"/>
        </w:rPr>
        <w:t xml:space="preserve">keit und Planbarkeit seiner </w:t>
      </w:r>
      <w:r w:rsidRPr="001555C8">
        <w:rPr>
          <w:rFonts w:cs="Arial"/>
          <w:spacing w:val="-2"/>
          <w:szCs w:val="22"/>
        </w:rPr>
        <w:t>Beiträge im Beitragsprimat höher als im Leistungsprimat, da dort neben den ordentlichen Beiträgen</w:t>
      </w:r>
      <w:r w:rsidRPr="001555C8">
        <w:rPr>
          <w:rFonts w:cs="Arial"/>
          <w:szCs w:val="22"/>
        </w:rPr>
        <w:t xml:space="preserve"> in der Regel zusätzliche Beiträge bei Lohnerhöhungen zu erbringen sind. </w:t>
      </w:r>
    </w:p>
    <w:p w:rsidR="004C1AEE" w:rsidRPr="001555C8" w:rsidRDefault="004C1AEE" w:rsidP="004C498C">
      <w:pPr>
        <w:spacing w:line="280" w:lineRule="exact"/>
        <w:jc w:val="both"/>
        <w:rPr>
          <w:rFonts w:cs="Arial"/>
          <w:szCs w:val="22"/>
        </w:rPr>
      </w:pPr>
    </w:p>
    <w:p w:rsidR="0020364A" w:rsidRPr="001555C8" w:rsidRDefault="004C498C" w:rsidP="004C498C">
      <w:pPr>
        <w:pStyle w:val="Textkrper"/>
      </w:pPr>
      <w:r w:rsidRPr="001555C8">
        <w:rPr>
          <w:rFonts w:cs="Arial"/>
          <w:spacing w:val="4"/>
          <w:szCs w:val="22"/>
        </w:rPr>
        <w:t>Die Nachvollziehbarkeit der Finanzierung und die Vorhersehbarkeit der Kosten ist eine der wesentlichsten</w:t>
      </w:r>
      <w:r w:rsidRPr="001555C8">
        <w:rPr>
          <w:rFonts w:cs="Arial"/>
          <w:szCs w:val="22"/>
        </w:rPr>
        <w:t xml:space="preserve"> Stärken des Beitragsprimats. Der Aufbau des Alterskapitals kann für jede versicherte Person lückenlos nachvollzogen werden. Die einzelnen Versicherten wissen genau, mit welcher Austrittsleistung sie bei einem Stellenwechsel rechnen können, denn die Freizügigkeitsleistung entspricht dem für sie </w:t>
      </w:r>
      <w:proofErr w:type="spellStart"/>
      <w:r w:rsidRPr="001555C8">
        <w:rPr>
          <w:rFonts w:cs="Arial"/>
          <w:szCs w:val="22"/>
        </w:rPr>
        <w:t>geäufneten</w:t>
      </w:r>
      <w:proofErr w:type="spellEnd"/>
      <w:r w:rsidRPr="001555C8">
        <w:rPr>
          <w:rFonts w:cs="Arial"/>
          <w:szCs w:val="22"/>
        </w:rPr>
        <w:t xml:space="preserve"> verzinsten </w:t>
      </w:r>
      <w:r w:rsidR="00310608" w:rsidRPr="001555C8">
        <w:t>Alterskapital</w:t>
      </w:r>
      <w:r w:rsidRPr="001555C8">
        <w:rPr>
          <w:rFonts w:cs="Arial"/>
          <w:szCs w:val="22"/>
        </w:rPr>
        <w:t xml:space="preserve">. Diese Nachvollziehbarkeit der </w:t>
      </w:r>
      <w:r w:rsidRPr="001555C8">
        <w:rPr>
          <w:rFonts w:cs="Arial"/>
          <w:spacing w:val="-2"/>
          <w:szCs w:val="22"/>
        </w:rPr>
        <w:t xml:space="preserve">Abwicklung des Sparprozesses fördert die Akzeptanz bei den Versicherten und den </w:t>
      </w:r>
      <w:proofErr w:type="spellStart"/>
      <w:r w:rsidRPr="001555C8">
        <w:rPr>
          <w:rFonts w:cs="Arial"/>
          <w:spacing w:val="-2"/>
          <w:szCs w:val="22"/>
        </w:rPr>
        <w:t>Arbeitgebenden</w:t>
      </w:r>
      <w:proofErr w:type="spellEnd"/>
      <w:r w:rsidRPr="001555C8">
        <w:rPr>
          <w:rFonts w:cs="Arial"/>
          <w:szCs w:val="22"/>
        </w:rPr>
        <w:t>.</w:t>
      </w:r>
    </w:p>
    <w:p w:rsidR="00553B1E" w:rsidRPr="001555C8" w:rsidRDefault="00553B1E" w:rsidP="00553B1E">
      <w:pPr>
        <w:pStyle w:val="berschrift3"/>
        <w:rPr>
          <w:lang w:eastAsia="de-CH"/>
        </w:rPr>
      </w:pPr>
      <w:bookmarkStart w:id="73" w:name="_Toc358786207"/>
      <w:r w:rsidRPr="001555C8">
        <w:rPr>
          <w:lang w:eastAsia="de-CH"/>
        </w:rPr>
        <w:t>Effizienz in der Administration</w:t>
      </w:r>
      <w:bookmarkEnd w:id="73"/>
    </w:p>
    <w:p w:rsidR="00553B1E" w:rsidRPr="001555C8" w:rsidRDefault="00553B1E" w:rsidP="00553B1E">
      <w:pPr>
        <w:spacing w:line="280" w:lineRule="exact"/>
        <w:jc w:val="both"/>
        <w:rPr>
          <w:rFonts w:cs="Arial"/>
          <w:szCs w:val="22"/>
        </w:rPr>
      </w:pPr>
      <w:r w:rsidRPr="001555C8">
        <w:rPr>
          <w:rFonts w:cs="Arial"/>
          <w:spacing w:val="-2"/>
          <w:szCs w:val="22"/>
        </w:rPr>
        <w:t>Änderungen auf Stufe des Bundesrechts richten sich nach dem auf dem Beitragsprimat aufgebauten</w:t>
      </w:r>
      <w:r w:rsidRPr="001555C8">
        <w:rPr>
          <w:rFonts w:cs="Arial"/>
          <w:szCs w:val="22"/>
        </w:rPr>
        <w:t xml:space="preserve"> BVG. So sind Neuerungen mit Verbesserungspotential auf das Beitragsprimat abgestimmt und entfalten im Leistungsprimat nicht die volle Wirkung. </w:t>
      </w:r>
    </w:p>
    <w:p w:rsidR="00553B1E" w:rsidRPr="001555C8" w:rsidRDefault="00553B1E" w:rsidP="00553B1E">
      <w:pPr>
        <w:spacing w:line="280" w:lineRule="exact"/>
        <w:jc w:val="both"/>
        <w:rPr>
          <w:rFonts w:cs="Arial"/>
          <w:szCs w:val="22"/>
        </w:rPr>
      </w:pPr>
    </w:p>
    <w:p w:rsidR="00553B1E" w:rsidRPr="001555C8" w:rsidRDefault="00553B1E" w:rsidP="00553B1E">
      <w:pPr>
        <w:spacing w:line="280" w:lineRule="exact"/>
        <w:jc w:val="both"/>
        <w:rPr>
          <w:rFonts w:cs="Arial"/>
          <w:szCs w:val="22"/>
        </w:rPr>
      </w:pPr>
      <w:r w:rsidRPr="001555C8">
        <w:rPr>
          <w:rFonts w:cs="Arial"/>
          <w:szCs w:val="22"/>
        </w:rPr>
        <w:t xml:space="preserve">Ein individuell finanziertes System (Beitragsprimat) bietet gegenüber einem kollektiv finanzierten </w:t>
      </w:r>
      <w:r w:rsidRPr="001555C8">
        <w:rPr>
          <w:rFonts w:cs="Arial"/>
          <w:spacing w:val="4"/>
          <w:szCs w:val="22"/>
        </w:rPr>
        <w:t>System (Leistungsprimat) mehr Flexibilität. Die Anpassung des Vorsorg</w:t>
      </w:r>
      <w:r w:rsidRPr="001555C8">
        <w:rPr>
          <w:rFonts w:cs="Arial"/>
          <w:spacing w:val="4"/>
          <w:szCs w:val="22"/>
        </w:rPr>
        <w:t>e</w:t>
      </w:r>
      <w:r w:rsidRPr="001555C8">
        <w:rPr>
          <w:rFonts w:cs="Arial"/>
          <w:spacing w:val="4"/>
          <w:szCs w:val="22"/>
        </w:rPr>
        <w:t>plans ist einfacher umzusetzen</w:t>
      </w:r>
      <w:r w:rsidRPr="001555C8">
        <w:rPr>
          <w:rFonts w:cs="Arial"/>
          <w:szCs w:val="22"/>
        </w:rPr>
        <w:t xml:space="preserve">, besser nachvollziehbar und mit geringerem Aufwand zu verwalten. Der Vollzug der </w:t>
      </w:r>
      <w:r w:rsidRPr="001555C8">
        <w:rPr>
          <w:rFonts w:cs="Arial"/>
          <w:spacing w:val="4"/>
          <w:szCs w:val="22"/>
        </w:rPr>
        <w:t>Freizügigkeit, der Wohneigentumsförderung und allgemein die Umsetzung von Erlassen ist problemloser</w:t>
      </w:r>
      <w:r w:rsidRPr="001555C8">
        <w:rPr>
          <w:rFonts w:cs="Arial"/>
          <w:szCs w:val="22"/>
        </w:rPr>
        <w:t xml:space="preserve"> abzuwickeln und für die Versicherten wesentlich verständlicher.</w:t>
      </w:r>
    </w:p>
    <w:p w:rsidR="00632ED0" w:rsidRPr="001555C8" w:rsidRDefault="00632ED0" w:rsidP="00632ED0">
      <w:pPr>
        <w:pStyle w:val="berschrift3"/>
        <w:rPr>
          <w:lang w:eastAsia="de-CH"/>
        </w:rPr>
      </w:pPr>
      <w:bookmarkStart w:id="74" w:name="_Toc358786208"/>
      <w:r w:rsidRPr="001555C8">
        <w:rPr>
          <w:lang w:eastAsia="de-CH"/>
        </w:rPr>
        <w:t>Chancen und Risiken der Vermögensanlage</w:t>
      </w:r>
      <w:bookmarkEnd w:id="74"/>
    </w:p>
    <w:p w:rsidR="00632ED0" w:rsidRPr="001555C8" w:rsidRDefault="00632ED0" w:rsidP="00632ED0">
      <w:pPr>
        <w:spacing w:line="280" w:lineRule="exact"/>
        <w:jc w:val="both"/>
        <w:rPr>
          <w:rFonts w:cs="Arial"/>
          <w:szCs w:val="22"/>
        </w:rPr>
      </w:pPr>
      <w:r w:rsidRPr="001555C8">
        <w:rPr>
          <w:rFonts w:cs="Arial"/>
          <w:szCs w:val="22"/>
        </w:rPr>
        <w:t xml:space="preserve">Theoretisch liegen die Chancen und Risiken der Vermögensanlage in einem kollektiv finanzierten Leistungsprimat primär bei der Vorsorgeeinrichtung. Versicherte und </w:t>
      </w:r>
      <w:proofErr w:type="spellStart"/>
      <w:r w:rsidRPr="001555C8">
        <w:rPr>
          <w:rFonts w:cs="Arial"/>
          <w:szCs w:val="22"/>
        </w:rPr>
        <w:t>Arbeitgebende</w:t>
      </w:r>
      <w:proofErr w:type="spellEnd"/>
      <w:r w:rsidRPr="001555C8">
        <w:rPr>
          <w:rFonts w:cs="Arial"/>
          <w:szCs w:val="22"/>
        </w:rPr>
        <w:t xml:space="preserve"> können aber von guten Vermögenserträgen profitieren, falls dank ihnen Beitragsreduktionen beschlossen oder wenn diese zur Stärkung der Eigenmittel der Kasse eingesetzt werden. </w:t>
      </w:r>
    </w:p>
    <w:p w:rsidR="00632ED0" w:rsidRPr="001555C8" w:rsidRDefault="00632ED0" w:rsidP="00632ED0">
      <w:pPr>
        <w:spacing w:line="280" w:lineRule="exact"/>
        <w:jc w:val="both"/>
        <w:rPr>
          <w:rFonts w:cs="Arial"/>
          <w:szCs w:val="22"/>
        </w:rPr>
      </w:pPr>
    </w:p>
    <w:p w:rsidR="00632ED0" w:rsidRPr="001555C8" w:rsidRDefault="00632ED0" w:rsidP="00632ED0">
      <w:pPr>
        <w:spacing w:line="280" w:lineRule="exact"/>
        <w:jc w:val="both"/>
        <w:rPr>
          <w:rFonts w:cs="Arial"/>
          <w:szCs w:val="22"/>
        </w:rPr>
      </w:pPr>
      <w:r w:rsidRPr="001555C8">
        <w:rPr>
          <w:rFonts w:cs="Arial"/>
          <w:spacing w:val="4"/>
          <w:szCs w:val="22"/>
        </w:rPr>
        <w:t>Im Beitragsprimat liegen die Chancen und Risiken der Vermögensanlage primär bei den Versicherten</w:t>
      </w:r>
      <w:r w:rsidRPr="001555C8">
        <w:rPr>
          <w:rFonts w:cs="Arial"/>
          <w:szCs w:val="22"/>
        </w:rPr>
        <w:t xml:space="preserve">. Die Chancen der Vermögensanlage kommen den Versicherten zu Gute, wenn die </w:t>
      </w:r>
      <w:r w:rsidRPr="001555C8">
        <w:rPr>
          <w:rFonts w:cs="Arial"/>
          <w:spacing w:val="2"/>
          <w:szCs w:val="22"/>
        </w:rPr>
        <w:t xml:space="preserve">Vermögenserträge in Form von Zinsen den Alterskapitalien gutgeschrieben werden. </w:t>
      </w:r>
      <w:r w:rsidRPr="001555C8">
        <w:rPr>
          <w:rFonts w:cs="Arial"/>
          <w:spacing w:val="-2"/>
          <w:szCs w:val="22"/>
        </w:rPr>
        <w:t>Andererseits partizipieren die Versicherten auch an schlechteren Anlageergebnissen, indem die Verzinsung</w:t>
      </w:r>
      <w:r w:rsidRPr="001555C8">
        <w:rPr>
          <w:rFonts w:cs="Arial"/>
          <w:szCs w:val="22"/>
        </w:rPr>
        <w:t xml:space="preserve"> </w:t>
      </w:r>
      <w:r w:rsidRPr="001555C8">
        <w:rPr>
          <w:rFonts w:cs="Arial"/>
          <w:spacing w:val="4"/>
          <w:szCs w:val="22"/>
        </w:rPr>
        <w:t>schlecht ist. Negativverzinsungen sind aber gesetzlich nicht zulässig, womit ein Kapitalschutz besteht. Die Anlagerisiken machen in beiden Primaten Wertschwankungsreserven nötig. Grundsätzlich</w:t>
      </w:r>
      <w:r w:rsidRPr="001555C8">
        <w:rPr>
          <w:rFonts w:cs="Arial"/>
          <w:szCs w:val="22"/>
        </w:rPr>
        <w:t xml:space="preserve"> profitieren die Versicherten daher erst dann von einer Mehrverzinsung, wenn die Wertschwankungsreserven voll aufgebaut worden sind. </w:t>
      </w:r>
    </w:p>
    <w:p w:rsidR="00F80D8A" w:rsidRPr="001555C8" w:rsidRDefault="00DB3EC1" w:rsidP="003738EA">
      <w:pPr>
        <w:pStyle w:val="berschrift2"/>
        <w:tabs>
          <w:tab w:val="clear" w:pos="992"/>
          <w:tab w:val="clear" w:pos="2836"/>
        </w:tabs>
        <w:ind w:left="426" w:hanging="426"/>
        <w:rPr>
          <w:lang w:eastAsia="de-CH"/>
        </w:rPr>
      </w:pPr>
      <w:bookmarkStart w:id="75" w:name="_Toc358786209"/>
      <w:r w:rsidRPr="001555C8">
        <w:rPr>
          <w:lang w:eastAsia="de-CH"/>
        </w:rPr>
        <w:t>Schlussfolgerungen</w:t>
      </w:r>
      <w:bookmarkEnd w:id="75"/>
    </w:p>
    <w:p w:rsidR="00DB3EC1" w:rsidRPr="001555C8" w:rsidRDefault="00DB3EC1" w:rsidP="00DB3EC1">
      <w:pPr>
        <w:overflowPunct/>
        <w:autoSpaceDE/>
        <w:autoSpaceDN/>
        <w:adjustRightInd/>
        <w:spacing w:after="120" w:line="280" w:lineRule="exact"/>
        <w:jc w:val="both"/>
        <w:textAlignment w:val="auto"/>
      </w:pPr>
      <w:r w:rsidRPr="001555C8">
        <w:t>Mit dieser Vorlage wird ein Wechsel vom Leistungsprimat ins Beitragsprimat vorgeschlagen, weil</w:t>
      </w:r>
    </w:p>
    <w:p w:rsidR="00DB3EC1" w:rsidRPr="001555C8" w:rsidRDefault="00DB3EC1" w:rsidP="00DB3EC1">
      <w:pPr>
        <w:numPr>
          <w:ilvl w:val="0"/>
          <w:numId w:val="27"/>
        </w:numPr>
        <w:tabs>
          <w:tab w:val="clear" w:pos="720"/>
          <w:tab w:val="num" w:pos="426"/>
        </w:tabs>
        <w:overflowPunct/>
        <w:autoSpaceDE/>
        <w:autoSpaceDN/>
        <w:adjustRightInd/>
        <w:spacing w:after="120" w:line="280" w:lineRule="exact"/>
        <w:ind w:left="425" w:hanging="425"/>
        <w:jc w:val="both"/>
        <w:textAlignment w:val="auto"/>
        <w:rPr>
          <w:rFonts w:cs="Arial"/>
          <w:szCs w:val="22"/>
        </w:rPr>
      </w:pPr>
      <w:r w:rsidRPr="001555C8">
        <w:rPr>
          <w:rFonts w:cs="Arial"/>
          <w:szCs w:val="22"/>
        </w:rPr>
        <w:t xml:space="preserve">die flexible Verzinsung der </w:t>
      </w:r>
      <w:r w:rsidR="00310608" w:rsidRPr="001555C8">
        <w:t>Alterskapital</w:t>
      </w:r>
      <w:r w:rsidR="00310608" w:rsidRPr="001555C8">
        <w:rPr>
          <w:rFonts w:cs="Arial"/>
          <w:szCs w:val="22"/>
        </w:rPr>
        <w:t xml:space="preserve">ien </w:t>
      </w:r>
      <w:r w:rsidRPr="001555C8">
        <w:rPr>
          <w:rFonts w:cs="Arial"/>
          <w:szCs w:val="22"/>
        </w:rPr>
        <w:t>im Beitragsprimat im Gegensatz zur Berechnung aller Vorsorgekapitalien mit dem technischen Zinssatz im Leistungsprimat die Finanzierungsrisiken für die PK Olten reduziert (die höhere Flexibilität bei der Verzinsung lässt eine bessere Reaktion auf Anlageschwankungen zu),</w:t>
      </w:r>
    </w:p>
    <w:p w:rsidR="00DB3EC1" w:rsidRPr="001555C8" w:rsidRDefault="00DB3EC1" w:rsidP="00DB3EC1">
      <w:pPr>
        <w:numPr>
          <w:ilvl w:val="0"/>
          <w:numId w:val="27"/>
        </w:numPr>
        <w:tabs>
          <w:tab w:val="clear" w:pos="720"/>
          <w:tab w:val="num" w:pos="426"/>
        </w:tabs>
        <w:overflowPunct/>
        <w:autoSpaceDE/>
        <w:autoSpaceDN/>
        <w:adjustRightInd/>
        <w:spacing w:after="120" w:line="280" w:lineRule="exact"/>
        <w:ind w:left="425" w:hanging="425"/>
        <w:jc w:val="both"/>
        <w:textAlignment w:val="auto"/>
        <w:rPr>
          <w:rFonts w:cs="Arial"/>
          <w:szCs w:val="22"/>
        </w:rPr>
      </w:pPr>
      <w:r w:rsidRPr="001555C8">
        <w:rPr>
          <w:rFonts w:cs="Arial"/>
          <w:spacing w:val="4"/>
          <w:szCs w:val="22"/>
        </w:rPr>
        <w:t xml:space="preserve">das Beitragsprimat den Bedürfnissen der </w:t>
      </w:r>
      <w:proofErr w:type="spellStart"/>
      <w:r w:rsidRPr="001555C8">
        <w:rPr>
          <w:rFonts w:cs="Arial"/>
          <w:spacing w:val="4"/>
          <w:szCs w:val="22"/>
        </w:rPr>
        <w:t>Arbeitnehmenden</w:t>
      </w:r>
      <w:proofErr w:type="spellEnd"/>
      <w:r w:rsidRPr="001555C8">
        <w:rPr>
          <w:rFonts w:cs="Arial"/>
          <w:spacing w:val="4"/>
          <w:szCs w:val="22"/>
        </w:rPr>
        <w:t xml:space="preserve"> und </w:t>
      </w:r>
      <w:proofErr w:type="spellStart"/>
      <w:r w:rsidRPr="001555C8">
        <w:rPr>
          <w:rFonts w:cs="Arial"/>
          <w:spacing w:val="4"/>
          <w:szCs w:val="22"/>
        </w:rPr>
        <w:t>Arbeitgebenden</w:t>
      </w:r>
      <w:proofErr w:type="spellEnd"/>
      <w:r w:rsidRPr="001555C8">
        <w:rPr>
          <w:rFonts w:cs="Arial"/>
          <w:spacing w:val="4"/>
          <w:szCs w:val="22"/>
        </w:rPr>
        <w:t xml:space="preserve"> nach Flexibilität</w:t>
      </w:r>
      <w:r w:rsidRPr="001555C8">
        <w:rPr>
          <w:rFonts w:cs="Arial"/>
          <w:szCs w:val="22"/>
        </w:rPr>
        <w:t xml:space="preserve"> im Arbeitsleben Rechnung trägt,</w:t>
      </w:r>
    </w:p>
    <w:p w:rsidR="00DB3EC1" w:rsidRPr="001555C8" w:rsidRDefault="00DB3EC1" w:rsidP="00DB3EC1">
      <w:pPr>
        <w:numPr>
          <w:ilvl w:val="0"/>
          <w:numId w:val="27"/>
        </w:numPr>
        <w:tabs>
          <w:tab w:val="clear" w:pos="720"/>
          <w:tab w:val="num" w:pos="426"/>
        </w:tabs>
        <w:overflowPunct/>
        <w:autoSpaceDE/>
        <w:autoSpaceDN/>
        <w:adjustRightInd/>
        <w:spacing w:after="120" w:line="280" w:lineRule="exact"/>
        <w:ind w:left="425" w:hanging="425"/>
        <w:jc w:val="both"/>
        <w:textAlignment w:val="auto"/>
        <w:rPr>
          <w:rFonts w:cs="Arial"/>
          <w:szCs w:val="22"/>
        </w:rPr>
      </w:pPr>
      <w:r w:rsidRPr="001555C8">
        <w:rPr>
          <w:rFonts w:cs="Arial"/>
          <w:spacing w:val="4"/>
          <w:szCs w:val="22"/>
        </w:rPr>
        <w:t>die mit der kollektiven Finanzierung des Leistungsprimats verbundenen Umverteilungsmechanismen</w:t>
      </w:r>
      <w:r w:rsidRPr="001555C8">
        <w:rPr>
          <w:rFonts w:cs="Arial"/>
          <w:szCs w:val="22"/>
        </w:rPr>
        <w:t xml:space="preserve"> durch eine transparente individuelle Finanzierung mit bewussten Solidaritäten (z.B. für Invalidität) ersetzt werden können,</w:t>
      </w:r>
    </w:p>
    <w:p w:rsidR="00DB3EC1" w:rsidRPr="001555C8" w:rsidRDefault="00DB3EC1" w:rsidP="00DB3EC1">
      <w:pPr>
        <w:numPr>
          <w:ilvl w:val="0"/>
          <w:numId w:val="27"/>
        </w:numPr>
        <w:tabs>
          <w:tab w:val="clear" w:pos="720"/>
          <w:tab w:val="num" w:pos="426"/>
        </w:tabs>
        <w:overflowPunct/>
        <w:autoSpaceDE/>
        <w:autoSpaceDN/>
        <w:adjustRightInd/>
        <w:spacing w:after="120" w:line="280" w:lineRule="exact"/>
        <w:ind w:left="425" w:hanging="425"/>
        <w:jc w:val="both"/>
        <w:textAlignment w:val="auto"/>
        <w:rPr>
          <w:rFonts w:cs="Arial"/>
          <w:szCs w:val="22"/>
        </w:rPr>
      </w:pPr>
      <w:r w:rsidRPr="001555C8">
        <w:rPr>
          <w:rFonts w:cs="Arial"/>
          <w:spacing w:val="-2"/>
          <w:szCs w:val="22"/>
        </w:rPr>
        <w:t>mit dem Wechsel vom Leistungsprimat zum Beitragsprimat die ausgebaute berufliche Vorsorge</w:t>
      </w:r>
      <w:r w:rsidRPr="001555C8">
        <w:rPr>
          <w:rFonts w:cs="Arial"/>
          <w:szCs w:val="22"/>
        </w:rPr>
        <w:t xml:space="preserve"> für das Personal der Stadt Olten erhalten werden soll und</w:t>
      </w:r>
    </w:p>
    <w:p w:rsidR="00DB3EC1" w:rsidRPr="001555C8" w:rsidRDefault="00DB3EC1" w:rsidP="00DB3EC1">
      <w:pPr>
        <w:numPr>
          <w:ilvl w:val="0"/>
          <w:numId w:val="27"/>
        </w:numPr>
        <w:tabs>
          <w:tab w:val="clear" w:pos="720"/>
          <w:tab w:val="num" w:pos="426"/>
        </w:tabs>
        <w:overflowPunct/>
        <w:autoSpaceDE/>
        <w:autoSpaceDN/>
        <w:adjustRightInd/>
        <w:spacing w:line="280" w:lineRule="exact"/>
        <w:ind w:left="426" w:hanging="426"/>
        <w:jc w:val="both"/>
        <w:textAlignment w:val="auto"/>
        <w:rPr>
          <w:rFonts w:cs="Arial"/>
          <w:szCs w:val="22"/>
        </w:rPr>
      </w:pPr>
      <w:r w:rsidRPr="001555C8">
        <w:rPr>
          <w:rFonts w:cs="Arial"/>
          <w:spacing w:val="-2"/>
          <w:szCs w:val="22"/>
        </w:rPr>
        <w:t>mit einem Wechsel zum Beitragsprimat die Administration der beruflichen Vorsorge vereinfacht</w:t>
      </w:r>
      <w:r w:rsidRPr="001555C8">
        <w:rPr>
          <w:rFonts w:cs="Arial"/>
          <w:szCs w:val="22"/>
        </w:rPr>
        <w:t xml:space="preserve"> werden kann.</w:t>
      </w:r>
    </w:p>
    <w:p w:rsidR="003738EA" w:rsidRPr="001555C8" w:rsidRDefault="003738EA" w:rsidP="003738EA">
      <w:pPr>
        <w:spacing w:line="280" w:lineRule="exact"/>
        <w:jc w:val="both"/>
        <w:rPr>
          <w:rFonts w:cs="Arial"/>
          <w:szCs w:val="22"/>
        </w:rPr>
      </w:pPr>
    </w:p>
    <w:p w:rsidR="00F80D8A" w:rsidRPr="001555C8" w:rsidRDefault="00F80D8A" w:rsidP="00632ED0">
      <w:pPr>
        <w:pStyle w:val="Textkrper"/>
        <w:rPr>
          <w:rFonts w:cs="Arial"/>
          <w:szCs w:val="22"/>
        </w:rPr>
      </w:pPr>
    </w:p>
    <w:p w:rsidR="00632ED0" w:rsidRPr="001555C8" w:rsidRDefault="00632ED0" w:rsidP="00632ED0">
      <w:pPr>
        <w:pStyle w:val="Textkrper"/>
        <w:rPr>
          <w:rFonts w:cs="Arial"/>
          <w:szCs w:val="22"/>
        </w:rPr>
      </w:pPr>
    </w:p>
    <w:p w:rsidR="000A4E83" w:rsidRPr="001555C8" w:rsidRDefault="000A4E83" w:rsidP="00C3664B">
      <w:pPr>
        <w:pStyle w:val="berschrift1"/>
        <w:numPr>
          <w:ilvl w:val="0"/>
          <w:numId w:val="2"/>
        </w:numPr>
        <w:tabs>
          <w:tab w:val="clear" w:pos="567"/>
          <w:tab w:val="left" w:pos="992"/>
        </w:tabs>
      </w:pPr>
      <w:r w:rsidRPr="001555C8">
        <w:rPr>
          <w:lang w:eastAsia="de-CH"/>
        </w:rPr>
        <w:br w:type="page"/>
      </w:r>
      <w:bookmarkStart w:id="76" w:name="_Toc328050168"/>
      <w:bookmarkStart w:id="77" w:name="_Ref345663535"/>
      <w:bookmarkStart w:id="78" w:name="_Toc358786210"/>
      <w:r w:rsidR="00D64D4D" w:rsidRPr="001555C8">
        <w:t>Neuer</w:t>
      </w:r>
      <w:r w:rsidRPr="001555C8">
        <w:t xml:space="preserve"> Leistungsplan</w:t>
      </w:r>
      <w:bookmarkEnd w:id="62"/>
      <w:bookmarkEnd w:id="76"/>
      <w:bookmarkEnd w:id="77"/>
      <w:r w:rsidR="003364D9" w:rsidRPr="001555C8">
        <w:t xml:space="preserve"> im Beitragsprimat</w:t>
      </w:r>
      <w:bookmarkEnd w:id="78"/>
    </w:p>
    <w:p w:rsidR="000A4E83" w:rsidRPr="001555C8" w:rsidRDefault="005D4B88" w:rsidP="00F43B82">
      <w:pPr>
        <w:pStyle w:val="berschrift2"/>
        <w:tabs>
          <w:tab w:val="clear" w:pos="992"/>
          <w:tab w:val="clear" w:pos="2836"/>
        </w:tabs>
        <w:ind w:left="426" w:hanging="426"/>
        <w:rPr>
          <w:lang w:eastAsia="de-CH"/>
        </w:rPr>
      </w:pPr>
      <w:bookmarkStart w:id="79" w:name="_Toc358786211"/>
      <w:r w:rsidRPr="001555C8">
        <w:rPr>
          <w:lang w:eastAsia="de-CH"/>
        </w:rPr>
        <w:t xml:space="preserve">Umwandlungssatz </w:t>
      </w:r>
      <w:r w:rsidR="00B623F2" w:rsidRPr="001555C8">
        <w:rPr>
          <w:lang w:eastAsia="de-CH"/>
        </w:rPr>
        <w:t>und Rücktrittsalter</w:t>
      </w:r>
      <w:bookmarkEnd w:id="79"/>
    </w:p>
    <w:p w:rsidR="005D4B88" w:rsidRPr="001555C8" w:rsidRDefault="005D4B88" w:rsidP="004F030A">
      <w:pPr>
        <w:spacing w:line="280" w:lineRule="exact"/>
        <w:jc w:val="both"/>
      </w:pPr>
      <w:r w:rsidRPr="001555C8">
        <w:t xml:space="preserve">Ausgehend von der Tatsache, dass der technische Zinssatz der Rentenbeziehenden </w:t>
      </w:r>
      <w:r w:rsidR="008719A8" w:rsidRPr="001555C8">
        <w:t xml:space="preserve">im Rechnungsjahr 2012 </w:t>
      </w:r>
      <w:r w:rsidRPr="001555C8">
        <w:t xml:space="preserve">von 3.75% auf 3.0% gesenkt worden ist, </w:t>
      </w:r>
      <w:r w:rsidR="00CF3384" w:rsidRPr="001555C8">
        <w:t xml:space="preserve">macht es Sinn, </w:t>
      </w:r>
      <w:r w:rsidR="003364D9" w:rsidRPr="001555C8">
        <w:t xml:space="preserve">den Umwandlungssatz ebenfalls mit einem technischen Zinssatz von 3.0% zu bestimmen. Ansonsten </w:t>
      </w:r>
      <w:r w:rsidR="00CF3384" w:rsidRPr="001555C8">
        <w:t xml:space="preserve">entsteht bei jeder Pensionierung mit Rentenbezug ein von der Pensionskasse </w:t>
      </w:r>
      <w:r w:rsidR="003364D9" w:rsidRPr="001555C8">
        <w:t>und damit den aktiven Versicherten zu tragender</w:t>
      </w:r>
      <w:r w:rsidR="00CF3384" w:rsidRPr="001555C8">
        <w:t xml:space="preserve"> Pensionierungsverlust.</w:t>
      </w:r>
      <w:r w:rsidR="00507D74" w:rsidRPr="001555C8">
        <w:t xml:space="preserve"> Der einem technischen Zinssatz von 3.0% entsprechende Umwandlungssatz </w:t>
      </w:r>
      <w:r w:rsidR="003364D9" w:rsidRPr="001555C8">
        <w:t xml:space="preserve">unter Anwendung der massgebenden versicherungstechnischen Grundlagen BVG 2010 </w:t>
      </w:r>
      <w:r w:rsidR="00507D74" w:rsidRPr="001555C8">
        <w:t>beträgt 5.84% im Alter 65.</w:t>
      </w:r>
    </w:p>
    <w:p w:rsidR="005D4B88" w:rsidRPr="001555C8" w:rsidRDefault="005D4B88" w:rsidP="004F030A">
      <w:pPr>
        <w:spacing w:line="280" w:lineRule="exact"/>
        <w:jc w:val="both"/>
      </w:pPr>
    </w:p>
    <w:p w:rsidR="000A4E83" w:rsidRPr="001555C8" w:rsidRDefault="000A4E83" w:rsidP="000A4E83">
      <w:pPr>
        <w:pStyle w:val="Textkrper"/>
        <w:rPr>
          <w:lang w:eastAsia="de-CH"/>
        </w:rPr>
      </w:pPr>
      <w:r w:rsidRPr="001555C8">
        <w:rPr>
          <w:lang w:eastAsia="de-CH"/>
        </w:rPr>
        <w:t xml:space="preserve">Aus der Senkung des technischen Zinssatzes folgt </w:t>
      </w:r>
      <w:proofErr w:type="spellStart"/>
      <w:r w:rsidR="003364D9" w:rsidRPr="001555C8">
        <w:rPr>
          <w:lang w:eastAsia="de-CH"/>
        </w:rPr>
        <w:t>primatsunabhängig</w:t>
      </w:r>
      <w:proofErr w:type="spellEnd"/>
      <w:r w:rsidRPr="001555C8">
        <w:rPr>
          <w:lang w:eastAsia="de-CH"/>
        </w:rPr>
        <w:t xml:space="preserve">, dass die </w:t>
      </w:r>
      <w:r w:rsidR="00CF3384" w:rsidRPr="001555C8">
        <w:rPr>
          <w:lang w:eastAsia="de-CH"/>
        </w:rPr>
        <w:t xml:space="preserve">Beiträge </w:t>
      </w:r>
      <w:r w:rsidRPr="001555C8">
        <w:rPr>
          <w:lang w:eastAsia="de-CH"/>
        </w:rPr>
        <w:t>zu erhöhen sind</w:t>
      </w:r>
      <w:r w:rsidR="000D2CF6" w:rsidRPr="001555C8">
        <w:rPr>
          <w:lang w:eastAsia="de-CH"/>
        </w:rPr>
        <w:t>, falls eine Leistungsreduktion verhindert werden soll</w:t>
      </w:r>
      <w:r w:rsidRPr="001555C8">
        <w:rPr>
          <w:lang w:eastAsia="de-CH"/>
        </w:rPr>
        <w:t xml:space="preserve">. Eine Erhöhung der Finanzierungsbeiträge erscheint </w:t>
      </w:r>
      <w:r w:rsidR="000D2CF6" w:rsidRPr="001555C8">
        <w:rPr>
          <w:lang w:eastAsia="de-CH"/>
        </w:rPr>
        <w:t xml:space="preserve">aber </w:t>
      </w:r>
      <w:r w:rsidRPr="001555C8">
        <w:rPr>
          <w:lang w:eastAsia="de-CH"/>
        </w:rPr>
        <w:t xml:space="preserve">sowohl aus Arbeitgebersicht, aber auch aus Sicht </w:t>
      </w:r>
      <w:r w:rsidR="00D64D4D" w:rsidRPr="001555C8">
        <w:rPr>
          <w:lang w:eastAsia="de-CH"/>
        </w:rPr>
        <w:t xml:space="preserve">der </w:t>
      </w:r>
      <w:proofErr w:type="spellStart"/>
      <w:r w:rsidR="00D64D4D" w:rsidRPr="001555C8">
        <w:rPr>
          <w:lang w:eastAsia="de-CH"/>
        </w:rPr>
        <w:t>Arbeitnehmenden</w:t>
      </w:r>
      <w:proofErr w:type="spellEnd"/>
      <w:r w:rsidR="00D64D4D" w:rsidRPr="001555C8">
        <w:rPr>
          <w:lang w:eastAsia="de-CH"/>
        </w:rPr>
        <w:t xml:space="preserve"> nicht erwünscht</w:t>
      </w:r>
      <w:r w:rsidRPr="001555C8">
        <w:rPr>
          <w:lang w:eastAsia="de-CH"/>
        </w:rPr>
        <w:t>.</w:t>
      </w:r>
    </w:p>
    <w:p w:rsidR="00D64D4D" w:rsidRPr="001555C8" w:rsidRDefault="00D64D4D" w:rsidP="000A4E83">
      <w:pPr>
        <w:pStyle w:val="Textkrper"/>
        <w:rPr>
          <w:lang w:eastAsia="de-CH"/>
        </w:rPr>
      </w:pPr>
    </w:p>
    <w:p w:rsidR="000A4E83" w:rsidRPr="001555C8" w:rsidRDefault="008719A8" w:rsidP="000A4E83">
      <w:pPr>
        <w:pStyle w:val="Textkrper"/>
        <w:rPr>
          <w:lang w:eastAsia="de-CH"/>
        </w:rPr>
      </w:pPr>
      <w:r w:rsidRPr="001555C8">
        <w:rPr>
          <w:lang w:eastAsia="de-CH"/>
        </w:rPr>
        <w:t xml:space="preserve">Da die Finanzierung gegeben ist und der Umwandlungssatz die Leistungshöhe bestimmt, bleibt nur noch die Erhöhung des bisherigen Rücktrittsalters von 63 Jahren als </w:t>
      </w:r>
      <w:r w:rsidR="000D2CF6" w:rsidRPr="001555C8">
        <w:rPr>
          <w:lang w:eastAsia="de-CH"/>
        </w:rPr>
        <w:t>Massnahme</w:t>
      </w:r>
      <w:r w:rsidRPr="001555C8">
        <w:rPr>
          <w:lang w:eastAsia="de-CH"/>
        </w:rPr>
        <w:t xml:space="preserve"> übrig. </w:t>
      </w:r>
      <w:r w:rsidR="00C17BDB" w:rsidRPr="001555C8">
        <w:rPr>
          <w:lang w:eastAsia="de-CH"/>
        </w:rPr>
        <w:t xml:space="preserve">Mit dem </w:t>
      </w:r>
      <w:r w:rsidRPr="001555C8">
        <w:rPr>
          <w:lang w:eastAsia="de-CH"/>
        </w:rPr>
        <w:t>nachfolgend aufgezeigte</w:t>
      </w:r>
      <w:r w:rsidR="00C17BDB" w:rsidRPr="001555C8">
        <w:rPr>
          <w:lang w:eastAsia="de-CH"/>
        </w:rPr>
        <w:t>n</w:t>
      </w:r>
      <w:r w:rsidR="00B62E63" w:rsidRPr="001555C8">
        <w:rPr>
          <w:lang w:eastAsia="de-CH"/>
        </w:rPr>
        <w:t>, auf ein Rücktrittsalter von 65 Jahren basierenden</w:t>
      </w:r>
      <w:r w:rsidRPr="001555C8">
        <w:rPr>
          <w:lang w:eastAsia="de-CH"/>
        </w:rPr>
        <w:t xml:space="preserve"> Vorsorgeplan, </w:t>
      </w:r>
      <w:r w:rsidR="00C17BDB" w:rsidRPr="001555C8">
        <w:rPr>
          <w:lang w:eastAsia="de-CH"/>
        </w:rPr>
        <w:t>kann trotz Umstellung auf ein Beitragsprimat das</w:t>
      </w:r>
      <w:r w:rsidR="000D2CF6" w:rsidRPr="001555C8">
        <w:rPr>
          <w:lang w:eastAsia="de-CH"/>
        </w:rPr>
        <w:t xml:space="preserve"> gleiche Leistungsziel im Alter </w:t>
      </w:r>
      <w:r w:rsidR="00C17BDB" w:rsidRPr="001555C8">
        <w:rPr>
          <w:lang w:eastAsia="de-CH"/>
        </w:rPr>
        <w:t>65 wie bis</w:t>
      </w:r>
      <w:r w:rsidR="000D2CF6" w:rsidRPr="001555C8">
        <w:rPr>
          <w:lang w:eastAsia="de-CH"/>
        </w:rPr>
        <w:t>her im Leistungsprimat im Alter </w:t>
      </w:r>
      <w:r w:rsidR="00C17BDB" w:rsidRPr="001555C8">
        <w:rPr>
          <w:lang w:eastAsia="de-CH"/>
        </w:rPr>
        <w:t xml:space="preserve">63 </w:t>
      </w:r>
      <w:r w:rsidR="00B62E63" w:rsidRPr="001555C8">
        <w:rPr>
          <w:lang w:eastAsia="de-CH"/>
        </w:rPr>
        <w:t>vorgesehen werden ohne das Beitragsvolumen zu erhöhen</w:t>
      </w:r>
      <w:r w:rsidR="00906D9A" w:rsidRPr="001555C8">
        <w:rPr>
          <w:lang w:eastAsia="de-CH"/>
        </w:rPr>
        <w:t>.</w:t>
      </w:r>
    </w:p>
    <w:p w:rsidR="00534C63" w:rsidRPr="001555C8" w:rsidRDefault="00534C63" w:rsidP="00F43B82">
      <w:pPr>
        <w:pStyle w:val="berschrift2"/>
        <w:tabs>
          <w:tab w:val="clear" w:pos="992"/>
          <w:tab w:val="clear" w:pos="2836"/>
        </w:tabs>
        <w:ind w:left="426" w:hanging="426"/>
        <w:rPr>
          <w:lang w:eastAsia="de-CH"/>
        </w:rPr>
      </w:pPr>
      <w:bookmarkStart w:id="80" w:name="_Toc358786212"/>
      <w:bookmarkStart w:id="81" w:name="_Ref345671716"/>
      <w:r w:rsidRPr="001555C8">
        <w:rPr>
          <w:lang w:eastAsia="de-CH"/>
        </w:rPr>
        <w:t>Vorsorgeplan</w:t>
      </w:r>
      <w:bookmarkEnd w:id="80"/>
    </w:p>
    <w:p w:rsidR="00534C63" w:rsidRPr="001555C8" w:rsidRDefault="00534C63" w:rsidP="00534C63">
      <w:pPr>
        <w:pStyle w:val="Textkrper"/>
      </w:pPr>
      <w:r w:rsidRPr="001555C8">
        <w:t xml:space="preserve">Dem Vorsorgeplan liegt ein Leistungsziel von 60% des letzten versicherten Lohnes </w:t>
      </w:r>
      <w:r w:rsidR="00B62E63" w:rsidRPr="001555C8">
        <w:t xml:space="preserve">im Schlussalter 65 </w:t>
      </w:r>
      <w:r w:rsidRPr="001555C8">
        <w:t>zu Grunde. Diese</w:t>
      </w:r>
      <w:r w:rsidR="000D2CF6" w:rsidRPr="001555C8">
        <w:t xml:space="preserve">m Ziel liegt eine einberechnete "Realverzinsung" (= Zins ./. Lohnerhöhung) von 1.0% zugrunde. Dies ist beispielsweise dann der Fall, </w:t>
      </w:r>
      <w:r w:rsidRPr="001555C8">
        <w:t xml:space="preserve">wenn </w:t>
      </w:r>
      <w:r w:rsidR="000D2CF6" w:rsidRPr="001555C8">
        <w:t>eine versicherte Person</w:t>
      </w:r>
      <w:r w:rsidRPr="001555C8">
        <w:t xml:space="preserve"> mit 25 in die Kasse eintritt, die Lohnkarriere 0.5% und die Teuerung 1.0% pro Jahr über einen Zeitraum von 40 Jahren </w:t>
      </w:r>
      <w:r w:rsidR="000D2CF6" w:rsidRPr="001555C8">
        <w:t>betragen</w:t>
      </w:r>
      <w:r w:rsidRPr="001555C8">
        <w:t xml:space="preserve"> und durchschnittlich ein Zi</w:t>
      </w:r>
      <w:r w:rsidR="000D2CF6" w:rsidRPr="001555C8">
        <w:t>ns von 2.5% gewährt werden kann</w:t>
      </w:r>
      <w:r w:rsidRPr="001555C8">
        <w:t xml:space="preserve">. </w:t>
      </w:r>
      <w:r w:rsidR="000D2CF6" w:rsidRPr="001555C8">
        <w:t>Im Detail soll der Plan wie folgt aussehen:</w:t>
      </w:r>
    </w:p>
    <w:p w:rsidR="00612B17" w:rsidRPr="001555C8" w:rsidRDefault="00612B17" w:rsidP="00534C63">
      <w:pPr>
        <w:pStyle w:val="Textkrper"/>
      </w:pPr>
    </w:p>
    <w:p w:rsidR="000D2CF6" w:rsidRPr="001555C8" w:rsidRDefault="000D2CF6" w:rsidP="000D2CF6">
      <w:pPr>
        <w:pStyle w:val="StyleCaptionArial10pt"/>
        <w:spacing w:before="240" w:after="120" w:line="240" w:lineRule="auto"/>
        <w:ind w:left="1134" w:hanging="1134"/>
        <w:jc w:val="both"/>
      </w:pPr>
      <w:r w:rsidRPr="001555C8">
        <w:t xml:space="preserve">Tabelle </w:t>
      </w:r>
      <w:r w:rsidR="00896579">
        <w:fldChar w:fldCharType="begin"/>
      </w:r>
      <w:r w:rsidR="00C83F16">
        <w:instrText xml:space="preserve"> SEQ Table \* ARABIC </w:instrText>
      </w:r>
      <w:r w:rsidR="00896579">
        <w:fldChar w:fldCharType="separate"/>
      </w:r>
      <w:r w:rsidR="006674A1">
        <w:rPr>
          <w:noProof/>
        </w:rPr>
        <w:t>2</w:t>
      </w:r>
      <w:r w:rsidR="00896579">
        <w:rPr>
          <w:noProof/>
        </w:rPr>
        <w:fldChar w:fldCharType="end"/>
      </w:r>
      <w:r w:rsidRPr="001555C8">
        <w:t>:</w:t>
      </w:r>
      <w:r w:rsidRPr="001555C8">
        <w:tab/>
        <w:t>Neuer Vorsorgeplan ab 1.1.2014</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tblPr>
      <w:tblGrid>
        <w:gridCol w:w="3378"/>
        <w:gridCol w:w="5694"/>
      </w:tblGrid>
      <w:tr w:rsidR="000D2CF6" w:rsidRPr="001555C8" w:rsidTr="000D2CF6">
        <w:trPr>
          <w:trHeight w:val="255"/>
        </w:trPr>
        <w:tc>
          <w:tcPr>
            <w:tcW w:w="3378" w:type="dxa"/>
            <w:shd w:val="clear" w:color="auto" w:fill="F3F3F3"/>
            <w:noWrap/>
            <w:vAlign w:val="bottom"/>
          </w:tcPr>
          <w:p w:rsidR="000D2CF6" w:rsidRPr="001555C8" w:rsidRDefault="000D2CF6" w:rsidP="000D2CF6">
            <w:pPr>
              <w:spacing w:before="60" w:after="60"/>
              <w:rPr>
                <w:rFonts w:cs="Arial"/>
                <w:color w:val="000000"/>
              </w:rPr>
            </w:pPr>
            <w:r w:rsidRPr="001555C8">
              <w:rPr>
                <w:rFonts w:cs="Arial"/>
                <w:color w:val="000000"/>
              </w:rPr>
              <w:t>Rücktrittsalter ordentlich</w:t>
            </w:r>
          </w:p>
        </w:tc>
        <w:tc>
          <w:tcPr>
            <w:tcW w:w="5694" w:type="dxa"/>
            <w:shd w:val="clear" w:color="auto" w:fill="F3F3F3"/>
            <w:noWrap/>
            <w:vAlign w:val="bottom"/>
          </w:tcPr>
          <w:p w:rsidR="000D2CF6" w:rsidRPr="001555C8" w:rsidRDefault="000D2CF6" w:rsidP="000D2CF6">
            <w:pPr>
              <w:spacing w:before="60" w:after="60"/>
              <w:rPr>
                <w:rFonts w:cs="Arial"/>
                <w:color w:val="000000"/>
              </w:rPr>
            </w:pPr>
            <w:r w:rsidRPr="001555C8">
              <w:rPr>
                <w:rFonts w:cs="Arial"/>
                <w:color w:val="000000"/>
              </w:rPr>
              <w:t>Frauen und Männer: 65 Jahre</w:t>
            </w:r>
          </w:p>
        </w:tc>
      </w:tr>
      <w:tr w:rsidR="000D2CF6" w:rsidRPr="001555C8" w:rsidTr="005A38DB">
        <w:trPr>
          <w:trHeight w:val="1020"/>
        </w:trPr>
        <w:tc>
          <w:tcPr>
            <w:tcW w:w="3378" w:type="dxa"/>
            <w:shd w:val="clear" w:color="auto" w:fill="auto"/>
            <w:noWrap/>
            <w:vAlign w:val="center"/>
          </w:tcPr>
          <w:p w:rsidR="000D2CF6" w:rsidRPr="001555C8" w:rsidRDefault="000D2CF6" w:rsidP="005A38DB">
            <w:pPr>
              <w:spacing w:before="60" w:after="60"/>
              <w:rPr>
                <w:rFonts w:cs="Arial"/>
                <w:color w:val="000000"/>
              </w:rPr>
            </w:pPr>
            <w:r w:rsidRPr="001555C8">
              <w:rPr>
                <w:rFonts w:cs="Arial"/>
                <w:color w:val="000000"/>
              </w:rPr>
              <w:t>Versicherter Lohn</w:t>
            </w:r>
          </w:p>
        </w:tc>
        <w:tc>
          <w:tcPr>
            <w:tcW w:w="5694" w:type="dxa"/>
            <w:shd w:val="clear" w:color="auto" w:fill="auto"/>
            <w:vAlign w:val="center"/>
          </w:tcPr>
          <w:p w:rsidR="000D2CF6" w:rsidRPr="001555C8" w:rsidRDefault="000D2CF6" w:rsidP="005A38DB">
            <w:pPr>
              <w:spacing w:before="60" w:after="60"/>
              <w:rPr>
                <w:rFonts w:cs="Arial"/>
                <w:color w:val="000000"/>
              </w:rPr>
            </w:pPr>
            <w:r w:rsidRPr="001555C8">
              <w:rPr>
                <w:rFonts w:cs="Arial"/>
                <w:color w:val="000000"/>
              </w:rPr>
              <w:t>AHV-Bruttolohn, abzüglich Koordinationsbetrag in Höhe der maximalen AHV-Rente, gewichtet mit dem Beschäftigungsgrad (= heutige Lösung)</w:t>
            </w:r>
          </w:p>
        </w:tc>
      </w:tr>
      <w:tr w:rsidR="000D2CF6" w:rsidRPr="001555C8" w:rsidTr="005A38DB">
        <w:trPr>
          <w:trHeight w:val="255"/>
        </w:trPr>
        <w:tc>
          <w:tcPr>
            <w:tcW w:w="3378" w:type="dxa"/>
            <w:shd w:val="clear" w:color="auto" w:fill="F3F3F3"/>
            <w:noWrap/>
            <w:vAlign w:val="center"/>
          </w:tcPr>
          <w:p w:rsidR="000D2CF6" w:rsidRPr="001555C8" w:rsidRDefault="000D2CF6" w:rsidP="005A38DB">
            <w:pPr>
              <w:spacing w:before="60" w:after="60"/>
              <w:rPr>
                <w:rFonts w:cs="Arial"/>
                <w:color w:val="000000"/>
              </w:rPr>
            </w:pPr>
            <w:r w:rsidRPr="001555C8">
              <w:rPr>
                <w:rFonts w:cs="Arial"/>
                <w:color w:val="000000"/>
              </w:rPr>
              <w:t>Altersrente</w:t>
            </w:r>
          </w:p>
        </w:tc>
        <w:tc>
          <w:tcPr>
            <w:tcW w:w="5694" w:type="dxa"/>
            <w:shd w:val="clear" w:color="auto" w:fill="F3F3F3"/>
            <w:noWrap/>
            <w:vAlign w:val="center"/>
          </w:tcPr>
          <w:p w:rsidR="000D2CF6" w:rsidRPr="001555C8" w:rsidRDefault="000D2CF6" w:rsidP="005A38DB">
            <w:pPr>
              <w:spacing w:before="60" w:after="60"/>
              <w:rPr>
                <w:rFonts w:cs="Arial"/>
                <w:color w:val="000000"/>
              </w:rPr>
            </w:pPr>
            <w:r w:rsidRPr="001555C8">
              <w:rPr>
                <w:rFonts w:cs="Arial"/>
                <w:color w:val="000000"/>
              </w:rPr>
              <w:t xml:space="preserve">5.84% des </w:t>
            </w:r>
            <w:r w:rsidR="00310608" w:rsidRPr="001555C8">
              <w:t>Altersguthaben</w:t>
            </w:r>
            <w:r w:rsidRPr="001555C8">
              <w:rPr>
                <w:rFonts w:cs="Arial"/>
                <w:color w:val="000000"/>
              </w:rPr>
              <w:t>s im Alter 65; pro Jahr vor Alter 65 um 0.12 Prozentpunkte reduziert</w:t>
            </w:r>
          </w:p>
        </w:tc>
      </w:tr>
      <w:tr w:rsidR="000D2CF6" w:rsidRPr="001555C8" w:rsidTr="005A38DB">
        <w:trPr>
          <w:trHeight w:val="255"/>
        </w:trPr>
        <w:tc>
          <w:tcPr>
            <w:tcW w:w="3378" w:type="dxa"/>
            <w:shd w:val="clear" w:color="auto" w:fill="auto"/>
            <w:noWrap/>
            <w:vAlign w:val="center"/>
          </w:tcPr>
          <w:p w:rsidR="000D2CF6" w:rsidRPr="001555C8" w:rsidRDefault="000D2CF6" w:rsidP="005A38DB">
            <w:pPr>
              <w:spacing w:before="60" w:after="60"/>
              <w:rPr>
                <w:rFonts w:cs="Arial"/>
                <w:color w:val="000000"/>
              </w:rPr>
            </w:pPr>
            <w:r w:rsidRPr="001555C8">
              <w:rPr>
                <w:rFonts w:cs="Arial"/>
                <w:color w:val="000000"/>
              </w:rPr>
              <w:t>Invalidenrente</w:t>
            </w:r>
          </w:p>
        </w:tc>
        <w:tc>
          <w:tcPr>
            <w:tcW w:w="5694" w:type="dxa"/>
            <w:shd w:val="clear" w:color="auto" w:fill="auto"/>
            <w:noWrap/>
            <w:vAlign w:val="center"/>
          </w:tcPr>
          <w:p w:rsidR="000D2CF6" w:rsidRPr="001555C8" w:rsidRDefault="000D2CF6" w:rsidP="005A38DB">
            <w:pPr>
              <w:spacing w:before="60" w:after="60"/>
              <w:rPr>
                <w:rFonts w:cs="Arial"/>
                <w:color w:val="000000"/>
              </w:rPr>
            </w:pPr>
            <w:r w:rsidRPr="001555C8">
              <w:rPr>
                <w:rFonts w:cs="Arial"/>
                <w:color w:val="000000"/>
              </w:rPr>
              <w:t>60% des versicherten Lohns</w:t>
            </w:r>
          </w:p>
        </w:tc>
      </w:tr>
      <w:tr w:rsidR="000D2CF6" w:rsidRPr="001555C8" w:rsidTr="005A38DB">
        <w:trPr>
          <w:trHeight w:val="255"/>
        </w:trPr>
        <w:tc>
          <w:tcPr>
            <w:tcW w:w="3378" w:type="dxa"/>
            <w:shd w:val="clear" w:color="auto" w:fill="F3F3F3"/>
            <w:noWrap/>
            <w:vAlign w:val="center"/>
          </w:tcPr>
          <w:p w:rsidR="000D2CF6" w:rsidRPr="001555C8" w:rsidRDefault="000D2CF6" w:rsidP="005A38DB">
            <w:pPr>
              <w:spacing w:before="60" w:after="60"/>
              <w:rPr>
                <w:rFonts w:cs="Arial"/>
                <w:color w:val="000000"/>
              </w:rPr>
            </w:pPr>
            <w:r w:rsidRPr="001555C8">
              <w:rPr>
                <w:rFonts w:cs="Arial"/>
                <w:color w:val="000000"/>
              </w:rPr>
              <w:t>Invalidenkinderrente</w:t>
            </w:r>
          </w:p>
        </w:tc>
        <w:tc>
          <w:tcPr>
            <w:tcW w:w="5694" w:type="dxa"/>
            <w:shd w:val="clear" w:color="auto" w:fill="F3F3F3"/>
            <w:noWrap/>
            <w:vAlign w:val="center"/>
          </w:tcPr>
          <w:p w:rsidR="000D2CF6" w:rsidRPr="001555C8" w:rsidRDefault="000D2CF6" w:rsidP="005A38DB">
            <w:pPr>
              <w:spacing w:before="60" w:after="60"/>
              <w:rPr>
                <w:rFonts w:cs="Arial"/>
                <w:color w:val="000000"/>
              </w:rPr>
            </w:pPr>
            <w:r w:rsidRPr="001555C8">
              <w:rPr>
                <w:rFonts w:cs="Arial"/>
                <w:color w:val="000000"/>
              </w:rPr>
              <w:t>20% der laufenden Invalidenrente</w:t>
            </w:r>
          </w:p>
        </w:tc>
      </w:tr>
      <w:tr w:rsidR="000D2CF6" w:rsidRPr="001555C8" w:rsidTr="005A38DB">
        <w:trPr>
          <w:trHeight w:val="765"/>
        </w:trPr>
        <w:tc>
          <w:tcPr>
            <w:tcW w:w="3378" w:type="dxa"/>
            <w:shd w:val="clear" w:color="auto" w:fill="auto"/>
            <w:noWrap/>
            <w:vAlign w:val="center"/>
          </w:tcPr>
          <w:p w:rsidR="000D2CF6" w:rsidRPr="001555C8" w:rsidRDefault="000D2CF6" w:rsidP="005A38DB">
            <w:pPr>
              <w:spacing w:before="60" w:after="60"/>
              <w:rPr>
                <w:rFonts w:cs="Arial"/>
                <w:color w:val="000000"/>
              </w:rPr>
            </w:pPr>
            <w:r w:rsidRPr="001555C8">
              <w:rPr>
                <w:rFonts w:cs="Arial"/>
                <w:color w:val="000000"/>
              </w:rPr>
              <w:t>Ehegatten- / Lebenspartnerrente</w:t>
            </w:r>
          </w:p>
        </w:tc>
        <w:tc>
          <w:tcPr>
            <w:tcW w:w="5694" w:type="dxa"/>
            <w:shd w:val="clear" w:color="auto" w:fill="auto"/>
            <w:vAlign w:val="center"/>
          </w:tcPr>
          <w:p w:rsidR="000D2CF6" w:rsidRPr="001555C8" w:rsidRDefault="000D2CF6" w:rsidP="005A38DB">
            <w:pPr>
              <w:spacing w:before="60" w:after="60"/>
              <w:rPr>
                <w:rFonts w:cs="Arial"/>
                <w:color w:val="000000"/>
              </w:rPr>
            </w:pPr>
            <w:r w:rsidRPr="001555C8">
              <w:rPr>
                <w:rFonts w:cs="Arial"/>
                <w:color w:val="000000"/>
              </w:rPr>
              <w:t>40% des versicherten Lohns bzw. ⅔ der versicherten Alters- bzw. Invalidenrente</w:t>
            </w:r>
          </w:p>
        </w:tc>
      </w:tr>
      <w:tr w:rsidR="000D2CF6" w:rsidRPr="001555C8" w:rsidTr="005A38DB">
        <w:trPr>
          <w:trHeight w:val="255"/>
        </w:trPr>
        <w:tc>
          <w:tcPr>
            <w:tcW w:w="3378" w:type="dxa"/>
            <w:shd w:val="clear" w:color="auto" w:fill="F3F3F3"/>
            <w:noWrap/>
          </w:tcPr>
          <w:p w:rsidR="000D2CF6" w:rsidRPr="001555C8" w:rsidRDefault="000D2CF6" w:rsidP="005A38DB">
            <w:pPr>
              <w:spacing w:before="60" w:after="60"/>
              <w:rPr>
                <w:rFonts w:cs="Arial"/>
                <w:color w:val="000000"/>
              </w:rPr>
            </w:pPr>
            <w:r w:rsidRPr="001555C8">
              <w:rPr>
                <w:rFonts w:cs="Arial"/>
                <w:color w:val="000000"/>
              </w:rPr>
              <w:t>Waisenrente</w:t>
            </w:r>
          </w:p>
        </w:tc>
        <w:tc>
          <w:tcPr>
            <w:tcW w:w="5694" w:type="dxa"/>
            <w:shd w:val="clear" w:color="auto" w:fill="F3F3F3"/>
            <w:noWrap/>
          </w:tcPr>
          <w:p w:rsidR="000D2CF6" w:rsidRPr="001555C8" w:rsidRDefault="000D2CF6" w:rsidP="00B534B7">
            <w:pPr>
              <w:spacing w:before="60" w:after="60"/>
              <w:rPr>
                <w:rFonts w:cs="Arial"/>
                <w:color w:val="000000"/>
              </w:rPr>
            </w:pPr>
            <w:r w:rsidRPr="001555C8">
              <w:rPr>
                <w:rFonts w:cs="Arial"/>
                <w:color w:val="000000"/>
              </w:rPr>
              <w:t xml:space="preserve">20% der versicherten </w:t>
            </w:r>
            <w:r w:rsidR="00B534B7" w:rsidRPr="001555C8">
              <w:rPr>
                <w:rFonts w:cs="Arial"/>
                <w:color w:val="000000"/>
              </w:rPr>
              <w:t>Invalidenrente bzw. der laufenden Invaliden- oder Altersrente</w:t>
            </w:r>
          </w:p>
        </w:tc>
      </w:tr>
      <w:tr w:rsidR="00C379D7" w:rsidRPr="001555C8" w:rsidTr="00913B2F">
        <w:trPr>
          <w:trHeight w:val="255"/>
        </w:trPr>
        <w:tc>
          <w:tcPr>
            <w:tcW w:w="3378" w:type="dxa"/>
            <w:shd w:val="clear" w:color="auto" w:fill="F3F3F3"/>
            <w:noWrap/>
          </w:tcPr>
          <w:p w:rsidR="00C379D7" w:rsidRPr="001555C8" w:rsidRDefault="00C379D7" w:rsidP="005A38DB">
            <w:pPr>
              <w:spacing w:before="60" w:after="60"/>
              <w:rPr>
                <w:rFonts w:cs="Arial"/>
                <w:color w:val="000000"/>
              </w:rPr>
            </w:pPr>
            <w:r w:rsidRPr="001555C8">
              <w:rPr>
                <w:rFonts w:cs="Arial"/>
                <w:color w:val="000000"/>
              </w:rPr>
              <w:t>Altersgutschriften</w:t>
            </w:r>
          </w:p>
        </w:tc>
        <w:tc>
          <w:tcPr>
            <w:tcW w:w="5694" w:type="dxa"/>
            <w:shd w:val="clear" w:color="auto" w:fill="F3F3F3"/>
            <w:noWrap/>
          </w:tcPr>
          <w:p w:rsidR="00C379D7" w:rsidRPr="001555C8" w:rsidRDefault="00C379D7" w:rsidP="005A38DB">
            <w:pPr>
              <w:spacing w:before="60" w:after="60"/>
              <w:rPr>
                <w:rFonts w:cs="Arial"/>
                <w:color w:val="000000"/>
              </w:rPr>
            </w:pPr>
          </w:p>
        </w:tc>
      </w:tr>
      <w:tr w:rsidR="00C379D7" w:rsidRPr="001555C8" w:rsidTr="00913B2F">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25 – 29</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14.0%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30 – 34</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16.0%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35 – 39</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18.0%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40 – 44</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20.0%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45 – 49</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22.0%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50 – 54</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24.0%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55 – 59</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26.0%</w:t>
            </w:r>
          </w:p>
        </w:tc>
      </w:tr>
      <w:tr w:rsidR="00C379D7" w:rsidRPr="001555C8" w:rsidTr="005A38DB">
        <w:trPr>
          <w:trHeight w:val="255"/>
        </w:trPr>
        <w:tc>
          <w:tcPr>
            <w:tcW w:w="3378"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60 – 65</w:t>
            </w:r>
          </w:p>
        </w:tc>
        <w:tc>
          <w:tcPr>
            <w:tcW w:w="5694" w:type="dxa"/>
            <w:shd w:val="clear" w:color="auto" w:fill="F3F3F3"/>
            <w:noWrap/>
            <w:vAlign w:val="center"/>
          </w:tcPr>
          <w:p w:rsidR="00C379D7" w:rsidRPr="001555C8" w:rsidRDefault="00C379D7" w:rsidP="005A38DB">
            <w:pPr>
              <w:spacing w:before="60" w:after="60"/>
              <w:jc w:val="center"/>
              <w:rPr>
                <w:rFonts w:cs="Arial"/>
                <w:color w:val="000000"/>
              </w:rPr>
            </w:pPr>
            <w:r w:rsidRPr="001555C8">
              <w:rPr>
                <w:rFonts w:cs="Arial"/>
                <w:color w:val="000000"/>
              </w:rPr>
              <w:t>28.0%</w:t>
            </w:r>
          </w:p>
        </w:tc>
      </w:tr>
      <w:tr w:rsidR="00C379D7" w:rsidRPr="001555C8" w:rsidTr="00913B2F">
        <w:trPr>
          <w:trHeight w:val="255"/>
        </w:trPr>
        <w:tc>
          <w:tcPr>
            <w:tcW w:w="3378" w:type="dxa"/>
            <w:shd w:val="clear" w:color="auto" w:fill="auto"/>
            <w:noWrap/>
          </w:tcPr>
          <w:p w:rsidR="00C379D7" w:rsidRPr="001555C8" w:rsidRDefault="00C379D7" w:rsidP="005A38DB">
            <w:pPr>
              <w:spacing w:before="60" w:after="60"/>
              <w:rPr>
                <w:rFonts w:cs="Arial"/>
                <w:color w:val="000000"/>
              </w:rPr>
            </w:pPr>
            <w:r w:rsidRPr="001555C8">
              <w:rPr>
                <w:rFonts w:cs="Arial"/>
                <w:color w:val="000000"/>
              </w:rPr>
              <w:t>Risikobeitrag</w:t>
            </w:r>
          </w:p>
        </w:tc>
        <w:tc>
          <w:tcPr>
            <w:tcW w:w="5694" w:type="dxa"/>
            <w:shd w:val="clear" w:color="auto" w:fill="auto"/>
            <w:noWrap/>
          </w:tcPr>
          <w:p w:rsidR="00C379D7" w:rsidRPr="001555C8" w:rsidRDefault="00C379D7" w:rsidP="005A38DB">
            <w:pPr>
              <w:spacing w:before="60" w:after="60"/>
              <w:jc w:val="center"/>
              <w:rPr>
                <w:rFonts w:cs="Arial"/>
                <w:color w:val="000000"/>
              </w:rPr>
            </w:pPr>
            <w:r w:rsidRPr="001555C8">
              <w:rPr>
                <w:rFonts w:cs="Arial"/>
                <w:color w:val="000000"/>
              </w:rPr>
              <w:t>3.50%</w:t>
            </w:r>
          </w:p>
        </w:tc>
      </w:tr>
      <w:tr w:rsidR="00C379D7" w:rsidRPr="001555C8" w:rsidTr="00913B2F">
        <w:trPr>
          <w:trHeight w:val="255"/>
        </w:trPr>
        <w:tc>
          <w:tcPr>
            <w:tcW w:w="3378" w:type="dxa"/>
            <w:shd w:val="clear" w:color="auto" w:fill="F3F3F3"/>
            <w:noWrap/>
          </w:tcPr>
          <w:p w:rsidR="00C379D7" w:rsidRPr="001555C8" w:rsidRDefault="00C379D7" w:rsidP="005A38DB">
            <w:pPr>
              <w:spacing w:before="60" w:after="60"/>
              <w:rPr>
                <w:rFonts w:cs="Arial"/>
                <w:color w:val="000000"/>
              </w:rPr>
            </w:pPr>
            <w:r w:rsidRPr="001555C8">
              <w:rPr>
                <w:rFonts w:cs="Arial"/>
                <w:color w:val="000000"/>
              </w:rPr>
              <w:t>Beitragsaufteilung AN / AG</w:t>
            </w:r>
          </w:p>
        </w:tc>
        <w:tc>
          <w:tcPr>
            <w:tcW w:w="5694" w:type="dxa"/>
            <w:shd w:val="clear" w:color="auto" w:fill="F3F3F3"/>
            <w:noWrap/>
          </w:tcPr>
          <w:p w:rsidR="00C379D7" w:rsidRPr="001555C8" w:rsidRDefault="00C379D7" w:rsidP="005A38DB">
            <w:pPr>
              <w:spacing w:before="60" w:after="60"/>
              <w:jc w:val="center"/>
              <w:rPr>
                <w:rFonts w:cs="Arial"/>
                <w:color w:val="000000"/>
              </w:rPr>
            </w:pPr>
            <w:r w:rsidRPr="001555C8">
              <w:rPr>
                <w:rFonts w:cs="Arial"/>
                <w:color w:val="000000"/>
              </w:rPr>
              <w:t>40 / 60</w:t>
            </w:r>
          </w:p>
        </w:tc>
      </w:tr>
      <w:tr w:rsidR="00C379D7" w:rsidRPr="001555C8" w:rsidTr="005A38DB">
        <w:trPr>
          <w:trHeight w:val="255"/>
        </w:trPr>
        <w:tc>
          <w:tcPr>
            <w:tcW w:w="3378" w:type="dxa"/>
            <w:shd w:val="clear" w:color="auto" w:fill="F3F3F3"/>
            <w:noWrap/>
          </w:tcPr>
          <w:p w:rsidR="00C379D7" w:rsidRPr="001555C8" w:rsidRDefault="00C379D7" w:rsidP="005A38DB">
            <w:pPr>
              <w:spacing w:before="60" w:after="60"/>
              <w:rPr>
                <w:rFonts w:cs="Arial"/>
                <w:color w:val="000000"/>
              </w:rPr>
            </w:pPr>
          </w:p>
        </w:tc>
        <w:tc>
          <w:tcPr>
            <w:tcW w:w="5694" w:type="dxa"/>
            <w:shd w:val="clear" w:color="auto" w:fill="F3F3F3"/>
            <w:noWrap/>
          </w:tcPr>
          <w:p w:rsidR="00C379D7" w:rsidRPr="001555C8" w:rsidRDefault="00C379D7" w:rsidP="005A38DB">
            <w:pPr>
              <w:spacing w:before="60" w:after="60"/>
              <w:jc w:val="center"/>
              <w:rPr>
                <w:rFonts w:cs="Arial"/>
                <w:color w:val="000000"/>
              </w:rPr>
            </w:pPr>
          </w:p>
        </w:tc>
      </w:tr>
    </w:tbl>
    <w:p w:rsidR="00BC0DBB" w:rsidRPr="001555C8" w:rsidRDefault="00BC0DBB" w:rsidP="00BC0DBB">
      <w:pPr>
        <w:pStyle w:val="Textkrper"/>
        <w:rPr>
          <w:lang w:eastAsia="de-CH"/>
        </w:rPr>
      </w:pPr>
      <w:bookmarkStart w:id="82" w:name="_Ref354987743"/>
    </w:p>
    <w:p w:rsidR="00BC0DBB" w:rsidRPr="001555C8" w:rsidRDefault="003B69F8" w:rsidP="00BC0DBB">
      <w:pPr>
        <w:pStyle w:val="Textkrper"/>
        <w:rPr>
          <w:lang w:eastAsia="de-CH"/>
        </w:rPr>
      </w:pPr>
      <w:r w:rsidRPr="001555C8">
        <w:rPr>
          <w:lang w:eastAsia="de-CH"/>
        </w:rPr>
        <w:t>Aufgrund des Versichertenbestands per Ende 2012 führt dieser Plan</w:t>
      </w:r>
      <w:r w:rsidR="00D9622D" w:rsidRPr="001555C8">
        <w:rPr>
          <w:lang w:eastAsia="de-CH"/>
        </w:rPr>
        <w:t xml:space="preserve"> zu Beiträgen von 25.4% gegenüber den heutigen 27.</w:t>
      </w:r>
      <w:r w:rsidR="00C379D7">
        <w:rPr>
          <w:lang w:eastAsia="de-CH"/>
        </w:rPr>
        <w:t>9</w:t>
      </w:r>
      <w:r w:rsidR="00D9622D" w:rsidRPr="001555C8">
        <w:rPr>
          <w:lang w:eastAsia="de-CH"/>
        </w:rPr>
        <w:t>% (vgl. Ziffer </w:t>
      </w:r>
      <w:fldSimple w:instr=" REF _Ref354995932 \n \h  \* MERGEFORMAT ">
        <w:r w:rsidR="006674A1">
          <w:rPr>
            <w:lang w:eastAsia="de-CH"/>
          </w:rPr>
          <w:t>5.1</w:t>
        </w:r>
      </w:fldSimple>
      <w:r w:rsidR="00D9622D" w:rsidRPr="001555C8">
        <w:rPr>
          <w:lang w:eastAsia="de-CH"/>
        </w:rPr>
        <w:t xml:space="preserve">) bzw. von Einsparungen von CHF 0.4 </w:t>
      </w:r>
      <w:proofErr w:type="spellStart"/>
      <w:r w:rsidR="00D9622D" w:rsidRPr="001555C8">
        <w:rPr>
          <w:lang w:eastAsia="de-CH"/>
        </w:rPr>
        <w:t>Mio</w:t>
      </w:r>
      <w:proofErr w:type="spellEnd"/>
      <w:r w:rsidR="00D9622D" w:rsidRPr="001555C8">
        <w:rPr>
          <w:lang w:eastAsia="de-CH"/>
        </w:rPr>
        <w:t xml:space="preserve"> beim Arbeitgeber und C</w:t>
      </w:r>
      <w:r w:rsidR="00F045F0" w:rsidRPr="001555C8">
        <w:rPr>
          <w:lang w:eastAsia="de-CH"/>
        </w:rPr>
        <w:t xml:space="preserve">HF 0.1 </w:t>
      </w:r>
      <w:proofErr w:type="spellStart"/>
      <w:r w:rsidR="00F045F0" w:rsidRPr="001555C8">
        <w:rPr>
          <w:lang w:eastAsia="de-CH"/>
        </w:rPr>
        <w:t>Mio</w:t>
      </w:r>
      <w:proofErr w:type="spellEnd"/>
      <w:r w:rsidR="00F045F0" w:rsidRPr="001555C8">
        <w:rPr>
          <w:lang w:eastAsia="de-CH"/>
        </w:rPr>
        <w:t xml:space="preserve"> bei den </w:t>
      </w:r>
      <w:proofErr w:type="spellStart"/>
      <w:r w:rsidR="00F045F0" w:rsidRPr="001555C8">
        <w:rPr>
          <w:lang w:eastAsia="de-CH"/>
        </w:rPr>
        <w:t>Arbeitnehmenden</w:t>
      </w:r>
      <w:proofErr w:type="spellEnd"/>
      <w:r w:rsidR="00D9622D" w:rsidRPr="001555C8">
        <w:rPr>
          <w:lang w:eastAsia="de-CH"/>
        </w:rPr>
        <w:t>.</w:t>
      </w:r>
    </w:p>
    <w:p w:rsidR="000A4E83" w:rsidRPr="001555C8" w:rsidRDefault="00AF11F1" w:rsidP="00F43B82">
      <w:pPr>
        <w:pStyle w:val="berschrift2"/>
        <w:tabs>
          <w:tab w:val="clear" w:pos="992"/>
          <w:tab w:val="clear" w:pos="2836"/>
        </w:tabs>
        <w:ind w:left="426" w:hanging="426"/>
        <w:rPr>
          <w:lang w:eastAsia="de-CH"/>
        </w:rPr>
      </w:pPr>
      <w:bookmarkStart w:id="83" w:name="_Ref355677960"/>
      <w:bookmarkStart w:id="84" w:name="_Toc358786213"/>
      <w:r w:rsidRPr="001555C8">
        <w:rPr>
          <w:lang w:eastAsia="de-CH"/>
        </w:rPr>
        <w:t>Besitzstand aus Leistungsreduktion</w:t>
      </w:r>
      <w:bookmarkEnd w:id="81"/>
      <w:bookmarkEnd w:id="82"/>
      <w:bookmarkEnd w:id="83"/>
      <w:bookmarkEnd w:id="84"/>
    </w:p>
    <w:p w:rsidR="00EC678E" w:rsidRPr="001555C8" w:rsidRDefault="006668AC" w:rsidP="005D3977">
      <w:pPr>
        <w:pStyle w:val="Textkrper"/>
        <w:rPr>
          <w:lang w:eastAsia="de-CH"/>
        </w:rPr>
      </w:pPr>
      <w:r w:rsidRPr="001555C8">
        <w:rPr>
          <w:lang w:eastAsia="de-CH"/>
        </w:rPr>
        <w:t>Die</w:t>
      </w:r>
      <w:r w:rsidR="00B62E63" w:rsidRPr="001555C8">
        <w:rPr>
          <w:lang w:eastAsia="de-CH"/>
        </w:rPr>
        <w:t xml:space="preserve"> Umstellung vom Leistungs- auf das Beitragsprimat (Wegfall der kollektiven Finanzierung, s. auch Kapit</w:t>
      </w:r>
      <w:r w:rsidR="00BC14D6" w:rsidRPr="001555C8">
        <w:rPr>
          <w:lang w:eastAsia="de-CH"/>
        </w:rPr>
        <w:t>e</w:t>
      </w:r>
      <w:r w:rsidR="00B62E63" w:rsidRPr="001555C8">
        <w:rPr>
          <w:lang w:eastAsia="de-CH"/>
        </w:rPr>
        <w:t xml:space="preserve">l </w:t>
      </w:r>
      <w:fldSimple w:instr=" REF _Ref354581372 \n \h  \* MERGEFORMAT ">
        <w:r w:rsidR="006674A1">
          <w:rPr>
            <w:lang w:eastAsia="de-CH"/>
          </w:rPr>
          <w:t>7.2.3</w:t>
        </w:r>
      </w:fldSimple>
      <w:r w:rsidR="00B62E63" w:rsidRPr="001555C8">
        <w:rPr>
          <w:lang w:eastAsia="de-CH"/>
        </w:rPr>
        <w:t xml:space="preserve">) </w:t>
      </w:r>
      <w:r w:rsidR="00E33C16" w:rsidRPr="001555C8">
        <w:rPr>
          <w:lang w:eastAsia="de-CH"/>
        </w:rPr>
        <w:t>und insbesondere</w:t>
      </w:r>
      <w:r w:rsidR="00B62E63" w:rsidRPr="001555C8">
        <w:rPr>
          <w:lang w:eastAsia="de-CH"/>
        </w:rPr>
        <w:t xml:space="preserve"> die Senkung des technischen Zinssatzes </w:t>
      </w:r>
      <w:r w:rsidR="00E33C16" w:rsidRPr="001555C8">
        <w:rPr>
          <w:lang w:eastAsia="de-CH"/>
        </w:rPr>
        <w:t>führen zu einer tieferen Altersrente</w:t>
      </w:r>
      <w:r w:rsidR="00E52121" w:rsidRPr="001555C8">
        <w:rPr>
          <w:lang w:eastAsia="de-CH"/>
        </w:rPr>
        <w:t>. Es ist mehr Kapital nötig, um im Schlussalter</w:t>
      </w:r>
      <w:r w:rsidR="00E33C16" w:rsidRPr="001555C8">
        <w:rPr>
          <w:lang w:eastAsia="de-CH"/>
        </w:rPr>
        <w:t> </w:t>
      </w:r>
      <w:r w:rsidR="00E52121" w:rsidRPr="001555C8">
        <w:rPr>
          <w:lang w:eastAsia="de-CH"/>
        </w:rPr>
        <w:t>63 die gleichen Leistungen wie heute zu erhalten</w:t>
      </w:r>
      <w:r w:rsidR="004F77F5" w:rsidRPr="001555C8">
        <w:rPr>
          <w:lang w:eastAsia="de-CH"/>
        </w:rPr>
        <w:t xml:space="preserve">, d.h. </w:t>
      </w:r>
      <w:r w:rsidR="00B62E63" w:rsidRPr="001555C8">
        <w:rPr>
          <w:lang w:eastAsia="de-CH"/>
        </w:rPr>
        <w:t>das Leistungsniveau</w:t>
      </w:r>
      <w:r w:rsidR="00E52121" w:rsidRPr="001555C8">
        <w:rPr>
          <w:lang w:eastAsia="de-CH"/>
        </w:rPr>
        <w:t xml:space="preserve"> der aktiven Versicherten</w:t>
      </w:r>
      <w:r w:rsidR="004F77F5" w:rsidRPr="001555C8">
        <w:rPr>
          <w:lang w:eastAsia="de-CH"/>
        </w:rPr>
        <w:t xml:space="preserve"> wird reduziert. </w:t>
      </w:r>
      <w:r w:rsidR="001536CA" w:rsidRPr="001555C8">
        <w:rPr>
          <w:lang w:eastAsia="de-CH"/>
        </w:rPr>
        <w:t>Die Lücke beträgt für den gesamten Bestand</w:t>
      </w:r>
      <w:r w:rsidR="00EC678E" w:rsidRPr="001555C8">
        <w:rPr>
          <w:lang w:eastAsia="de-CH"/>
        </w:rPr>
        <w:t xml:space="preserve"> (ohne über 63-jährige) unter Annahme einer eher vorsichtigen "Realverzinsung" von 1.0% </w:t>
      </w:r>
      <w:r w:rsidR="001536CA" w:rsidRPr="001555C8">
        <w:rPr>
          <w:lang w:eastAsia="de-CH"/>
        </w:rPr>
        <w:t xml:space="preserve">rund </w:t>
      </w:r>
      <w:r w:rsidR="00EC678E" w:rsidRPr="001555C8">
        <w:rPr>
          <w:lang w:eastAsia="de-CH"/>
        </w:rPr>
        <w:t>CHF </w:t>
      </w:r>
      <w:r w:rsidR="00E33C16" w:rsidRPr="001555C8">
        <w:rPr>
          <w:lang w:eastAsia="de-CH"/>
        </w:rPr>
        <w:t>46</w:t>
      </w:r>
      <w:r w:rsidR="00BC14D6" w:rsidRPr="001555C8">
        <w:rPr>
          <w:lang w:eastAsia="de-CH"/>
        </w:rPr>
        <w:t> </w:t>
      </w:r>
      <w:proofErr w:type="spellStart"/>
      <w:r w:rsidR="001536CA" w:rsidRPr="001555C8">
        <w:rPr>
          <w:lang w:eastAsia="de-CH"/>
        </w:rPr>
        <w:t>Mio</w:t>
      </w:r>
      <w:proofErr w:type="spellEnd"/>
      <w:r w:rsidR="00E52121" w:rsidRPr="001555C8">
        <w:rPr>
          <w:lang w:eastAsia="de-CH"/>
        </w:rPr>
        <w:t>,</w:t>
      </w:r>
      <w:r w:rsidR="00B62E63" w:rsidRPr="001555C8">
        <w:rPr>
          <w:lang w:eastAsia="de-CH"/>
        </w:rPr>
        <w:t xml:space="preserve"> </w:t>
      </w:r>
      <w:r w:rsidR="001536CA" w:rsidRPr="001555C8">
        <w:rPr>
          <w:lang w:eastAsia="de-CH"/>
        </w:rPr>
        <w:t>was in Relation zum Vorsorgekapi</w:t>
      </w:r>
      <w:r w:rsidR="00EC678E" w:rsidRPr="001555C8">
        <w:rPr>
          <w:lang w:eastAsia="de-CH"/>
        </w:rPr>
        <w:t>tal von rund CHF </w:t>
      </w:r>
      <w:r w:rsidR="001536CA" w:rsidRPr="001555C8">
        <w:rPr>
          <w:lang w:eastAsia="de-CH"/>
        </w:rPr>
        <w:t xml:space="preserve">78 </w:t>
      </w:r>
      <w:proofErr w:type="spellStart"/>
      <w:r w:rsidR="001536CA" w:rsidRPr="001555C8">
        <w:rPr>
          <w:lang w:eastAsia="de-CH"/>
        </w:rPr>
        <w:t>Mio</w:t>
      </w:r>
      <w:proofErr w:type="spellEnd"/>
      <w:r w:rsidR="001536CA" w:rsidRPr="001555C8">
        <w:rPr>
          <w:lang w:eastAsia="de-CH"/>
        </w:rPr>
        <w:t xml:space="preserve"> </w:t>
      </w:r>
      <w:r w:rsidR="00EC678E" w:rsidRPr="001555C8">
        <w:rPr>
          <w:lang w:eastAsia="de-CH"/>
        </w:rPr>
        <w:t xml:space="preserve">einen </w:t>
      </w:r>
      <w:r w:rsidR="00E33C16" w:rsidRPr="001555C8">
        <w:rPr>
          <w:lang w:eastAsia="de-CH"/>
        </w:rPr>
        <w:t>wohl kaum finanzierbaren</w:t>
      </w:r>
      <w:r w:rsidR="00EC678E" w:rsidRPr="001555C8">
        <w:rPr>
          <w:lang w:eastAsia="de-CH"/>
        </w:rPr>
        <w:t xml:space="preserve"> Betrag ergibt</w:t>
      </w:r>
      <w:r w:rsidR="00E33C16" w:rsidRPr="001555C8">
        <w:rPr>
          <w:lang w:eastAsia="de-CH"/>
        </w:rPr>
        <w:t xml:space="preserve">. Unter Annahme einer "Realverzinsung" von 2.0% beläuft sich der volle Besitzstand im Alter 63 noch auf CHF 26 </w:t>
      </w:r>
      <w:proofErr w:type="spellStart"/>
      <w:r w:rsidR="00E33C16" w:rsidRPr="001555C8">
        <w:rPr>
          <w:lang w:eastAsia="de-CH"/>
        </w:rPr>
        <w:t>Mio</w:t>
      </w:r>
      <w:proofErr w:type="spellEnd"/>
      <w:r w:rsidR="00E33C16" w:rsidRPr="001555C8">
        <w:rPr>
          <w:lang w:eastAsia="de-CH"/>
        </w:rPr>
        <w:t>, was noch immer einer Einlage von durchschnittlich über 30% auf dem heutigen Vorsorgekapital gleich käme.</w:t>
      </w:r>
    </w:p>
    <w:p w:rsidR="00EC678E" w:rsidRPr="001555C8" w:rsidRDefault="00EC678E" w:rsidP="005D3977">
      <w:pPr>
        <w:pStyle w:val="Textkrper"/>
        <w:rPr>
          <w:lang w:eastAsia="de-CH"/>
        </w:rPr>
      </w:pPr>
    </w:p>
    <w:p w:rsidR="005D3977" w:rsidRPr="001555C8" w:rsidRDefault="001536CA" w:rsidP="002502FB">
      <w:pPr>
        <w:pStyle w:val="Textkrper"/>
        <w:rPr>
          <w:lang w:eastAsia="de-CH"/>
        </w:rPr>
      </w:pPr>
      <w:r w:rsidRPr="001555C8">
        <w:t xml:space="preserve">Anders wie bei den Rentenbeziehenden ist </w:t>
      </w:r>
      <w:r w:rsidR="00E33C16" w:rsidRPr="001555C8">
        <w:t xml:space="preserve">aber </w:t>
      </w:r>
      <w:r w:rsidRPr="001555C8">
        <w:t xml:space="preserve">eine Erhöhung des Vorsorgekapitals bei den aktiven Versicherten nicht zwingend. </w:t>
      </w:r>
      <w:r w:rsidR="005D3977" w:rsidRPr="001555C8">
        <w:t xml:space="preserve">Ohne Erhöhung wirkt sich dies allerdings in einer </w:t>
      </w:r>
      <w:r w:rsidR="00EC678E" w:rsidRPr="001555C8">
        <w:t xml:space="preserve">deutlich </w:t>
      </w:r>
      <w:r w:rsidR="005D3977" w:rsidRPr="001555C8">
        <w:t>tieferen Rente aus</w:t>
      </w:r>
      <w:r w:rsidR="002502FB" w:rsidRPr="001555C8">
        <w:t>, womit sich insbesondere bei den kurz vor Pensionierung stehenden Personen die Frage von Treu und Glauben stellt</w:t>
      </w:r>
      <w:r w:rsidR="00E33C16" w:rsidRPr="001555C8">
        <w:t xml:space="preserve">. Die </w:t>
      </w:r>
      <w:r w:rsidR="002502FB" w:rsidRPr="001555C8">
        <w:t xml:space="preserve">für die aktiven Versicherten </w:t>
      </w:r>
      <w:r w:rsidR="00E33C16" w:rsidRPr="001555C8">
        <w:t>im Alter 63 durchschnittlich versicherte Rente würde von heute 55% auf 47% (Zins von 2.0%) bzw. sogar auf 43% (Zins von 1.0%) zurückgehen</w:t>
      </w:r>
      <w:r w:rsidR="005D3977" w:rsidRPr="001555C8">
        <w:t xml:space="preserve">. Für die aktiven Versicherten der PK Olten ergäbe diese eine durchschnittliche Senkung der versicherten Rente um </w:t>
      </w:r>
      <w:r w:rsidR="00E33C16" w:rsidRPr="001555C8">
        <w:t>rund 15%</w:t>
      </w:r>
      <w:r w:rsidR="005D3977" w:rsidRPr="001555C8">
        <w:t xml:space="preserve">. Um die Leistungseinbussen abzufedern, schlägt der Stadtrat </w:t>
      </w:r>
      <w:r w:rsidR="00E33C16" w:rsidRPr="001555C8">
        <w:t xml:space="preserve">deshalb </w:t>
      </w:r>
      <w:r w:rsidR="005D3977" w:rsidRPr="001555C8">
        <w:t>folgenden Besitzstand vor:</w:t>
      </w:r>
    </w:p>
    <w:p w:rsidR="007A779E" w:rsidRPr="001555C8" w:rsidRDefault="007A779E" w:rsidP="00786C73">
      <w:pPr>
        <w:pStyle w:val="Textkrper"/>
        <w:numPr>
          <w:ilvl w:val="0"/>
          <w:numId w:val="19"/>
        </w:numPr>
        <w:tabs>
          <w:tab w:val="clear" w:pos="720"/>
          <w:tab w:val="num" w:pos="567"/>
        </w:tabs>
        <w:spacing w:before="120"/>
        <w:ind w:left="567" w:hanging="567"/>
        <w:rPr>
          <w:lang w:eastAsia="de-CH"/>
        </w:rPr>
      </w:pPr>
      <w:r w:rsidRPr="001555C8">
        <w:rPr>
          <w:lang w:eastAsia="de-CH"/>
        </w:rPr>
        <w:t>Besitzstand der heute im Alter</w:t>
      </w:r>
      <w:r w:rsidR="0090791F">
        <w:rPr>
          <w:lang w:eastAsia="de-CH"/>
        </w:rPr>
        <w:t xml:space="preserve"> </w:t>
      </w:r>
      <w:r w:rsidRPr="001555C8">
        <w:rPr>
          <w:lang w:eastAsia="de-CH"/>
        </w:rPr>
        <w:t>63 versicherten Rente im Alter</w:t>
      </w:r>
      <w:r w:rsidR="0090791F">
        <w:rPr>
          <w:lang w:eastAsia="de-CH"/>
        </w:rPr>
        <w:t xml:space="preserve"> </w:t>
      </w:r>
      <w:r w:rsidRPr="001555C8">
        <w:rPr>
          <w:lang w:eastAsia="de-CH"/>
        </w:rPr>
        <w:t>65: Damit wird sichergestellt, dass mit einer Weiterarbeit von zwei Jahren die heute im Alter</w:t>
      </w:r>
      <w:r w:rsidR="0090791F">
        <w:rPr>
          <w:lang w:eastAsia="de-CH"/>
        </w:rPr>
        <w:t xml:space="preserve"> </w:t>
      </w:r>
      <w:r w:rsidRPr="001555C8">
        <w:rPr>
          <w:lang w:eastAsia="de-CH"/>
        </w:rPr>
        <w:t>63 versicherte Rente im Alter</w:t>
      </w:r>
      <w:r w:rsidR="0090791F">
        <w:rPr>
          <w:lang w:eastAsia="de-CH"/>
        </w:rPr>
        <w:t xml:space="preserve"> </w:t>
      </w:r>
      <w:r w:rsidRPr="001555C8">
        <w:rPr>
          <w:lang w:eastAsia="de-CH"/>
        </w:rPr>
        <w:t>65 ausgerichtet werden kann.</w:t>
      </w:r>
      <w:r w:rsidR="00E33C16" w:rsidRPr="001555C8">
        <w:rPr>
          <w:lang w:eastAsia="de-CH"/>
        </w:rPr>
        <w:t xml:space="preserve"> </w:t>
      </w:r>
    </w:p>
    <w:p w:rsidR="00EF716B" w:rsidRPr="001555C8" w:rsidRDefault="00EF716B" w:rsidP="00786C73">
      <w:pPr>
        <w:pStyle w:val="Textkrper"/>
        <w:numPr>
          <w:ilvl w:val="0"/>
          <w:numId w:val="19"/>
        </w:numPr>
        <w:tabs>
          <w:tab w:val="clear" w:pos="720"/>
          <w:tab w:val="num" w:pos="567"/>
        </w:tabs>
        <w:spacing w:before="120"/>
        <w:ind w:left="567" w:hanging="567"/>
        <w:rPr>
          <w:lang w:eastAsia="de-CH"/>
        </w:rPr>
      </w:pPr>
      <w:r w:rsidRPr="001555C8">
        <w:rPr>
          <w:lang w:eastAsia="de-CH"/>
        </w:rPr>
        <w:t>Voller Besitzstand ab Alter</w:t>
      </w:r>
      <w:r w:rsidR="0090791F">
        <w:rPr>
          <w:lang w:eastAsia="de-CH"/>
        </w:rPr>
        <w:t xml:space="preserve"> </w:t>
      </w:r>
      <w:r w:rsidR="006753FB" w:rsidRPr="001555C8">
        <w:rPr>
          <w:lang w:eastAsia="de-CH"/>
        </w:rPr>
        <w:t>60</w:t>
      </w:r>
      <w:r w:rsidRPr="001555C8">
        <w:rPr>
          <w:lang w:eastAsia="de-CH"/>
        </w:rPr>
        <w:t xml:space="preserve"> der </w:t>
      </w:r>
      <w:r w:rsidR="006753FB" w:rsidRPr="001555C8">
        <w:rPr>
          <w:lang w:eastAsia="de-CH"/>
        </w:rPr>
        <w:t xml:space="preserve">heute </w:t>
      </w:r>
      <w:r w:rsidRPr="001555C8">
        <w:rPr>
          <w:lang w:eastAsia="de-CH"/>
        </w:rPr>
        <w:t>im Alter</w:t>
      </w:r>
      <w:r w:rsidR="0090791F">
        <w:rPr>
          <w:lang w:eastAsia="de-CH"/>
        </w:rPr>
        <w:t xml:space="preserve"> </w:t>
      </w:r>
      <w:r w:rsidRPr="001555C8">
        <w:rPr>
          <w:lang w:eastAsia="de-CH"/>
        </w:rPr>
        <w:t>63 versicherten Rente</w:t>
      </w:r>
      <w:r w:rsidR="001C13B3" w:rsidRPr="001555C8">
        <w:rPr>
          <w:lang w:eastAsia="de-CH"/>
        </w:rPr>
        <w:t xml:space="preserve">: Für </w:t>
      </w:r>
      <w:r w:rsidR="00E65B58" w:rsidRPr="001555C8">
        <w:rPr>
          <w:lang w:eastAsia="de-CH"/>
        </w:rPr>
        <w:t>diese versicherten Personen ändert sich bezüglich der im Alter</w:t>
      </w:r>
      <w:r w:rsidR="0090791F">
        <w:rPr>
          <w:lang w:eastAsia="de-CH"/>
        </w:rPr>
        <w:t xml:space="preserve"> </w:t>
      </w:r>
      <w:r w:rsidR="00E65B58" w:rsidRPr="001555C8">
        <w:rPr>
          <w:lang w:eastAsia="de-CH"/>
        </w:rPr>
        <w:t>63 versicherten Rente nichts. Diese Massnahme folgt dem Grundsatz von Treu und Glauben, welcher für die kurz vor der Pensionierung stehenden Personen anzuwenden ist.</w:t>
      </w:r>
    </w:p>
    <w:p w:rsidR="00EF716B" w:rsidRPr="001555C8" w:rsidRDefault="00EF716B" w:rsidP="00786C73">
      <w:pPr>
        <w:pStyle w:val="Textkrper"/>
        <w:numPr>
          <w:ilvl w:val="0"/>
          <w:numId w:val="19"/>
        </w:numPr>
        <w:tabs>
          <w:tab w:val="clear" w:pos="720"/>
          <w:tab w:val="num" w:pos="567"/>
        </w:tabs>
        <w:spacing w:before="120"/>
        <w:ind w:left="567" w:hanging="567"/>
        <w:rPr>
          <w:lang w:eastAsia="de-CH"/>
        </w:rPr>
      </w:pPr>
      <w:r w:rsidRPr="001555C8">
        <w:rPr>
          <w:lang w:eastAsia="de-CH"/>
        </w:rPr>
        <w:t>Linear abnehmender Besitzstand der im Alter</w:t>
      </w:r>
      <w:r w:rsidR="0090791F">
        <w:rPr>
          <w:lang w:eastAsia="de-CH"/>
        </w:rPr>
        <w:t xml:space="preserve"> </w:t>
      </w:r>
      <w:r w:rsidRPr="001555C8">
        <w:rPr>
          <w:lang w:eastAsia="de-CH"/>
        </w:rPr>
        <w:t xml:space="preserve">63 versicherten Rente </w:t>
      </w:r>
      <w:r w:rsidR="00906D9A" w:rsidRPr="001555C8">
        <w:rPr>
          <w:lang w:eastAsia="de-CH"/>
        </w:rPr>
        <w:t xml:space="preserve">für Versicherte </w:t>
      </w:r>
      <w:r w:rsidRPr="001555C8">
        <w:rPr>
          <w:lang w:eastAsia="de-CH"/>
        </w:rPr>
        <w:t>zwischen Alter</w:t>
      </w:r>
      <w:r w:rsidR="0090791F">
        <w:rPr>
          <w:lang w:eastAsia="de-CH"/>
        </w:rPr>
        <w:t xml:space="preserve"> </w:t>
      </w:r>
      <w:r w:rsidR="006753FB" w:rsidRPr="001555C8">
        <w:rPr>
          <w:lang w:eastAsia="de-CH"/>
        </w:rPr>
        <w:t>60</w:t>
      </w:r>
      <w:r w:rsidRPr="001555C8">
        <w:rPr>
          <w:lang w:eastAsia="de-CH"/>
        </w:rPr>
        <w:t xml:space="preserve"> und Alter</w:t>
      </w:r>
      <w:r w:rsidR="0090791F">
        <w:rPr>
          <w:lang w:eastAsia="de-CH"/>
        </w:rPr>
        <w:t xml:space="preserve"> </w:t>
      </w:r>
      <w:r w:rsidRPr="001555C8">
        <w:rPr>
          <w:lang w:eastAsia="de-CH"/>
        </w:rPr>
        <w:t>5</w:t>
      </w:r>
      <w:r w:rsidR="006753FB" w:rsidRPr="001555C8">
        <w:rPr>
          <w:lang w:eastAsia="de-CH"/>
        </w:rPr>
        <w:t>5</w:t>
      </w:r>
      <w:r w:rsidR="001C13B3" w:rsidRPr="001555C8">
        <w:rPr>
          <w:lang w:eastAsia="de-CH"/>
        </w:rPr>
        <w:t>:</w:t>
      </w:r>
      <w:r w:rsidR="00E65B58" w:rsidRPr="001555C8">
        <w:rPr>
          <w:lang w:eastAsia="de-CH"/>
        </w:rPr>
        <w:t xml:space="preserve"> Damit werden Sprungstellen verhindert, da es unschön wäre, wenn eine </w:t>
      </w:r>
      <w:r w:rsidR="006753FB" w:rsidRPr="001555C8">
        <w:rPr>
          <w:lang w:eastAsia="de-CH"/>
        </w:rPr>
        <w:t>60</w:t>
      </w:r>
      <w:r w:rsidR="00E65B58" w:rsidRPr="001555C8">
        <w:rPr>
          <w:lang w:eastAsia="de-CH"/>
        </w:rPr>
        <w:t xml:space="preserve">-jährige versicherte Person einen vollen Besitzstand </w:t>
      </w:r>
      <w:r w:rsidR="001C13B3" w:rsidRPr="001555C8">
        <w:rPr>
          <w:lang w:eastAsia="de-CH"/>
        </w:rPr>
        <w:t>erhält</w:t>
      </w:r>
      <w:r w:rsidR="00E65B58" w:rsidRPr="001555C8">
        <w:rPr>
          <w:lang w:eastAsia="de-CH"/>
        </w:rPr>
        <w:t>, eine 5</w:t>
      </w:r>
      <w:r w:rsidR="006753FB" w:rsidRPr="001555C8">
        <w:rPr>
          <w:lang w:eastAsia="de-CH"/>
        </w:rPr>
        <w:t>9</w:t>
      </w:r>
      <w:r w:rsidR="001A100E" w:rsidRPr="001555C8">
        <w:rPr>
          <w:lang w:eastAsia="de-CH"/>
        </w:rPr>
        <w:t> </w:t>
      </w:r>
      <w:r w:rsidR="00E65B58" w:rsidRPr="001555C8">
        <w:rPr>
          <w:lang w:eastAsia="de-CH"/>
        </w:rPr>
        <w:t>11/12</w:t>
      </w:r>
      <w:r w:rsidR="00494424" w:rsidRPr="001555C8">
        <w:rPr>
          <w:lang w:eastAsia="de-CH"/>
        </w:rPr>
        <w:t xml:space="preserve"> Jahre alte Person</w:t>
      </w:r>
      <w:r w:rsidR="00E65B58" w:rsidRPr="001555C8">
        <w:rPr>
          <w:lang w:eastAsia="de-CH"/>
        </w:rPr>
        <w:t xml:space="preserve"> aber keinen.</w:t>
      </w:r>
    </w:p>
    <w:p w:rsidR="00E33C16" w:rsidRPr="001555C8" w:rsidRDefault="00E33C16" w:rsidP="002502FB">
      <w:pPr>
        <w:pStyle w:val="Textkrper"/>
        <w:spacing w:before="120"/>
        <w:rPr>
          <w:lang w:eastAsia="de-CH"/>
        </w:rPr>
      </w:pPr>
      <w:r w:rsidRPr="001555C8">
        <w:rPr>
          <w:lang w:eastAsia="de-CH"/>
        </w:rPr>
        <w:t xml:space="preserve">Die Berechnung im Beitragsprimat basiert dabei auf einer Zinsannahme von 2.0%. Derselbe Zins hat auch die Pensionskasse des </w:t>
      </w:r>
      <w:proofErr w:type="spellStart"/>
      <w:r w:rsidRPr="001555C8">
        <w:rPr>
          <w:lang w:eastAsia="de-CH"/>
        </w:rPr>
        <w:t>Kt</w:t>
      </w:r>
      <w:proofErr w:type="spellEnd"/>
      <w:r w:rsidRPr="001555C8">
        <w:rPr>
          <w:lang w:eastAsia="de-CH"/>
        </w:rPr>
        <w:t xml:space="preserve">. AG bei ihrer </w:t>
      </w:r>
      <w:proofErr w:type="spellStart"/>
      <w:r w:rsidRPr="001555C8">
        <w:rPr>
          <w:lang w:eastAsia="de-CH"/>
        </w:rPr>
        <w:t>Primatumstellung</w:t>
      </w:r>
      <w:proofErr w:type="spellEnd"/>
      <w:r w:rsidRPr="001555C8">
        <w:rPr>
          <w:lang w:eastAsia="de-CH"/>
        </w:rPr>
        <w:t xml:space="preserve"> auf den 1. Januar 2008 angewendet. Auch wenn dieser Zins höher ist als derjenige, welche</w:t>
      </w:r>
      <w:r w:rsidR="002502FB" w:rsidRPr="001555C8">
        <w:rPr>
          <w:lang w:eastAsia="de-CH"/>
        </w:rPr>
        <w:t>r</w:t>
      </w:r>
      <w:r w:rsidRPr="001555C8">
        <w:rPr>
          <w:lang w:eastAsia="de-CH"/>
        </w:rPr>
        <w:t xml:space="preserve"> für die Festlegung der </w:t>
      </w:r>
      <w:r w:rsidR="00864D6E" w:rsidRPr="001555C8">
        <w:rPr>
          <w:lang w:eastAsia="de-CH"/>
        </w:rPr>
        <w:t>Altersgutschriften</w:t>
      </w:r>
      <w:r w:rsidRPr="001555C8">
        <w:rPr>
          <w:lang w:eastAsia="de-CH"/>
        </w:rPr>
        <w:t xml:space="preserve"> angewendet worden ist, stellt er aus Sicht des Stadtrats für die aktiven Versicherten eine gute Lösung dar. Dies insbesondere deshalb, weil in der heutigen Zeit die Teuerung und damit die Lohnerhöhungen unter der modellmässigen Annahme liegen und auf einen Besitzstand infolge von Treu und Glauben nur in höheren Altern Anrecht besteht. </w:t>
      </w:r>
      <w:r w:rsidR="002502FB" w:rsidRPr="001555C8">
        <w:rPr>
          <w:lang w:eastAsia="de-CH"/>
        </w:rPr>
        <w:t>In diesen Altern dürften die "Reallohnerhöhungen" aber eher zurückhaltend erfolgen.</w:t>
      </w:r>
      <w:r w:rsidR="00D9622D" w:rsidRPr="001555C8">
        <w:rPr>
          <w:lang w:eastAsia="de-CH"/>
        </w:rPr>
        <w:t xml:space="preserve"> </w:t>
      </w:r>
    </w:p>
    <w:p w:rsidR="00FF7CC5" w:rsidRPr="001555C8" w:rsidRDefault="00FF7CC5" w:rsidP="00897A3F">
      <w:pPr>
        <w:pStyle w:val="Textkrper"/>
        <w:rPr>
          <w:lang w:eastAsia="de-CH"/>
        </w:rPr>
      </w:pPr>
    </w:p>
    <w:p w:rsidR="00EF716B" w:rsidRPr="001555C8" w:rsidRDefault="00E65B58" w:rsidP="00897A3F">
      <w:pPr>
        <w:pStyle w:val="Textkrper"/>
        <w:rPr>
          <w:lang w:eastAsia="de-CH"/>
        </w:rPr>
      </w:pPr>
      <w:r w:rsidRPr="001555C8">
        <w:rPr>
          <w:lang w:eastAsia="de-CH"/>
        </w:rPr>
        <w:t xml:space="preserve">Die Kosten dieser </w:t>
      </w:r>
      <w:r w:rsidR="00BC14D6" w:rsidRPr="001555C8">
        <w:rPr>
          <w:lang w:eastAsia="de-CH"/>
        </w:rPr>
        <w:t>Massnahme</w:t>
      </w:r>
      <w:r w:rsidRPr="001555C8">
        <w:rPr>
          <w:lang w:eastAsia="de-CH"/>
        </w:rPr>
        <w:t xml:space="preserve"> belaufen sich auf rund CHF </w:t>
      </w:r>
      <w:r w:rsidR="006753FB" w:rsidRPr="001555C8">
        <w:rPr>
          <w:lang w:eastAsia="de-CH"/>
        </w:rPr>
        <w:t>9</w:t>
      </w:r>
      <w:r w:rsidRPr="001555C8">
        <w:rPr>
          <w:lang w:eastAsia="de-CH"/>
        </w:rPr>
        <w:t xml:space="preserve"> </w:t>
      </w:r>
      <w:proofErr w:type="spellStart"/>
      <w:r w:rsidRPr="001555C8">
        <w:rPr>
          <w:lang w:eastAsia="de-CH"/>
        </w:rPr>
        <w:t>Mio</w:t>
      </w:r>
      <w:proofErr w:type="spellEnd"/>
      <w:r w:rsidRPr="001555C8">
        <w:rPr>
          <w:lang w:eastAsia="de-CH"/>
        </w:rPr>
        <w:t xml:space="preserve"> (Stand </w:t>
      </w:r>
      <w:r w:rsidR="006753FB" w:rsidRPr="001555C8">
        <w:rPr>
          <w:lang w:eastAsia="de-CH"/>
        </w:rPr>
        <w:t>3</w:t>
      </w:r>
      <w:r w:rsidRPr="001555C8">
        <w:rPr>
          <w:lang w:eastAsia="de-CH"/>
        </w:rPr>
        <w:t>1.1</w:t>
      </w:r>
      <w:r w:rsidR="006753FB" w:rsidRPr="001555C8">
        <w:rPr>
          <w:lang w:eastAsia="de-CH"/>
        </w:rPr>
        <w:t>2</w:t>
      </w:r>
      <w:r w:rsidRPr="001555C8">
        <w:rPr>
          <w:lang w:eastAsia="de-CH"/>
        </w:rPr>
        <w:t>.2012).</w:t>
      </w:r>
      <w:r w:rsidR="001C13B3" w:rsidRPr="001555C8">
        <w:rPr>
          <w:lang w:eastAsia="de-CH"/>
        </w:rPr>
        <w:t xml:space="preserve"> Da sich der Besitzstand aber auf die versicherte Rente bezieht und nicht auf die Freizügigkeit</w:t>
      </w:r>
      <w:r w:rsidR="001C13B3" w:rsidRPr="001555C8">
        <w:rPr>
          <w:lang w:eastAsia="de-CH"/>
        </w:rPr>
        <w:t>s</w:t>
      </w:r>
      <w:r w:rsidR="001C13B3" w:rsidRPr="001555C8">
        <w:rPr>
          <w:lang w:eastAsia="de-CH"/>
        </w:rPr>
        <w:t xml:space="preserve">leistung, welche ja gewahrt bleibt, soll dieser Betrag nur im Rentenfall, nicht aber bei Austritt oder bei Kapitalbezug wirksam werden. </w:t>
      </w:r>
    </w:p>
    <w:p w:rsidR="000A4E83" w:rsidRPr="001555C8" w:rsidRDefault="007C1291" w:rsidP="00C3664B">
      <w:pPr>
        <w:pStyle w:val="berschrift1"/>
        <w:numPr>
          <w:ilvl w:val="0"/>
          <w:numId w:val="2"/>
        </w:numPr>
        <w:tabs>
          <w:tab w:val="clear" w:pos="567"/>
          <w:tab w:val="left" w:pos="992"/>
        </w:tabs>
      </w:pPr>
      <w:bookmarkStart w:id="85" w:name="_Toc327346439"/>
      <w:bookmarkStart w:id="86" w:name="_Toc328050179"/>
      <w:r w:rsidRPr="001555C8">
        <w:rPr>
          <w:lang w:eastAsia="de-CH"/>
        </w:rPr>
        <w:br w:type="page"/>
      </w:r>
      <w:bookmarkStart w:id="87" w:name="_Toc358786214"/>
      <w:bookmarkEnd w:id="85"/>
      <w:bookmarkEnd w:id="86"/>
      <w:r w:rsidR="009A5474" w:rsidRPr="001555C8">
        <w:t xml:space="preserve">Übersicht über die </w:t>
      </w:r>
      <w:r w:rsidRPr="001555C8">
        <w:t>vorgeschlagene Lösung</w:t>
      </w:r>
      <w:r w:rsidR="00482062" w:rsidRPr="001555C8">
        <w:t>; Kostenfolgen</w:t>
      </w:r>
      <w:bookmarkEnd w:id="87"/>
    </w:p>
    <w:p w:rsidR="000A4E83" w:rsidRPr="001555C8" w:rsidRDefault="000A4E83" w:rsidP="00F43B82">
      <w:pPr>
        <w:pStyle w:val="berschrift2"/>
        <w:tabs>
          <w:tab w:val="clear" w:pos="992"/>
          <w:tab w:val="clear" w:pos="2836"/>
        </w:tabs>
        <w:ind w:left="426" w:hanging="426"/>
        <w:rPr>
          <w:lang w:eastAsia="de-CH"/>
        </w:rPr>
      </w:pPr>
      <w:bookmarkStart w:id="88" w:name="_Toc327346440"/>
      <w:bookmarkStart w:id="89" w:name="_Toc328050180"/>
      <w:bookmarkStart w:id="90" w:name="_Toc358786215"/>
      <w:r w:rsidRPr="001555C8">
        <w:rPr>
          <w:lang w:eastAsia="de-CH"/>
        </w:rPr>
        <w:t>Einleitung</w:t>
      </w:r>
      <w:bookmarkEnd w:id="88"/>
      <w:bookmarkEnd w:id="89"/>
      <w:bookmarkEnd w:id="90"/>
    </w:p>
    <w:p w:rsidR="00A32622" w:rsidRPr="001555C8" w:rsidRDefault="00A32622" w:rsidP="000A4E83">
      <w:pPr>
        <w:pStyle w:val="Textkrper"/>
        <w:rPr>
          <w:lang w:eastAsia="de-CH"/>
        </w:rPr>
      </w:pPr>
      <w:r w:rsidRPr="001555C8">
        <w:rPr>
          <w:lang w:eastAsia="de-CH"/>
        </w:rPr>
        <w:t>Folgende Rahmenbedingungen, welche sich aus den bisherigen Ausführungen ableiten, sollen gelten:</w:t>
      </w:r>
    </w:p>
    <w:p w:rsidR="00FF29D7" w:rsidRPr="001555C8" w:rsidRDefault="00FF29D7" w:rsidP="00FF29D7">
      <w:pPr>
        <w:pStyle w:val="Textkrper"/>
        <w:numPr>
          <w:ilvl w:val="0"/>
          <w:numId w:val="19"/>
        </w:numPr>
        <w:tabs>
          <w:tab w:val="clear" w:pos="720"/>
          <w:tab w:val="num" w:pos="567"/>
        </w:tabs>
        <w:spacing w:before="120"/>
        <w:ind w:left="567" w:hanging="567"/>
        <w:rPr>
          <w:lang w:eastAsia="de-CH"/>
        </w:rPr>
      </w:pPr>
      <w:r w:rsidRPr="001555C8">
        <w:rPr>
          <w:lang w:eastAsia="de-CH"/>
        </w:rPr>
        <w:t>Versicherung der Altersleistungen im Beitragsprimat; Rücktrittsalter 65</w:t>
      </w:r>
    </w:p>
    <w:p w:rsidR="00FF29D7" w:rsidRPr="001555C8" w:rsidRDefault="00FF29D7" w:rsidP="00C30EB9">
      <w:pPr>
        <w:pStyle w:val="Textkrper"/>
        <w:numPr>
          <w:ilvl w:val="0"/>
          <w:numId w:val="19"/>
        </w:numPr>
        <w:tabs>
          <w:tab w:val="clear" w:pos="720"/>
          <w:tab w:val="num" w:pos="567"/>
        </w:tabs>
        <w:spacing w:before="120"/>
        <w:ind w:left="567" w:hanging="567"/>
        <w:rPr>
          <w:lang w:eastAsia="de-CH"/>
        </w:rPr>
      </w:pPr>
      <w:r w:rsidRPr="001555C8">
        <w:rPr>
          <w:lang w:eastAsia="de-CH"/>
        </w:rPr>
        <w:t>Temporäre Invalidenrente von 60% bis Alter 65, danach "Pensionierung"</w:t>
      </w:r>
    </w:p>
    <w:p w:rsidR="00A32622" w:rsidRPr="001555C8" w:rsidRDefault="0066344A" w:rsidP="00786C73">
      <w:pPr>
        <w:pStyle w:val="Textkrper"/>
        <w:numPr>
          <w:ilvl w:val="0"/>
          <w:numId w:val="19"/>
        </w:numPr>
        <w:tabs>
          <w:tab w:val="clear" w:pos="720"/>
          <w:tab w:val="num" w:pos="567"/>
        </w:tabs>
        <w:spacing w:before="120"/>
        <w:ind w:left="567" w:hanging="567"/>
        <w:rPr>
          <w:lang w:eastAsia="de-CH"/>
        </w:rPr>
      </w:pPr>
      <w:r w:rsidRPr="001555C8">
        <w:rPr>
          <w:lang w:eastAsia="de-CH"/>
        </w:rPr>
        <w:t>Technischer Zinssatz von 3.0</w:t>
      </w:r>
      <w:r w:rsidR="00A32622" w:rsidRPr="001555C8">
        <w:rPr>
          <w:lang w:eastAsia="de-CH"/>
        </w:rPr>
        <w:t>%</w:t>
      </w:r>
      <w:r w:rsidR="005E6C7D" w:rsidRPr="001555C8">
        <w:rPr>
          <w:lang w:eastAsia="de-CH"/>
        </w:rPr>
        <w:t xml:space="preserve"> und damit ein </w:t>
      </w:r>
      <w:r w:rsidR="00C30EB9" w:rsidRPr="001555C8">
        <w:rPr>
          <w:lang w:eastAsia="de-CH"/>
        </w:rPr>
        <w:t>Umw</w:t>
      </w:r>
      <w:r w:rsidR="00963297" w:rsidRPr="001555C8">
        <w:rPr>
          <w:lang w:eastAsia="de-CH"/>
        </w:rPr>
        <w:t>andlungssatz von 5.84% im Alter </w:t>
      </w:r>
      <w:r w:rsidR="00C30EB9" w:rsidRPr="001555C8">
        <w:rPr>
          <w:lang w:eastAsia="de-CH"/>
        </w:rPr>
        <w:t>65</w:t>
      </w:r>
      <w:r w:rsidR="00A32622" w:rsidRPr="001555C8">
        <w:rPr>
          <w:lang w:eastAsia="de-CH"/>
        </w:rPr>
        <w:t xml:space="preserve"> (im Wissen darum, dass die Pensionskommission dessen Höhe zu beschlie</w:t>
      </w:r>
      <w:r w:rsidR="00A32622" w:rsidRPr="001555C8">
        <w:rPr>
          <w:lang w:eastAsia="de-CH"/>
        </w:rPr>
        <w:t>s</w:t>
      </w:r>
      <w:r w:rsidR="00A32622" w:rsidRPr="001555C8">
        <w:rPr>
          <w:lang w:eastAsia="de-CH"/>
        </w:rPr>
        <w:t>sen hat)</w:t>
      </w:r>
    </w:p>
    <w:p w:rsidR="00A32622" w:rsidRPr="001555C8" w:rsidRDefault="00A32622"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Aufteilung zwischen </w:t>
      </w:r>
      <w:proofErr w:type="spellStart"/>
      <w:r w:rsidR="00895CEF" w:rsidRPr="001555C8">
        <w:t>Arbeitnehmenden</w:t>
      </w:r>
      <w:proofErr w:type="spellEnd"/>
      <w:r w:rsidR="00895CEF" w:rsidRPr="001555C8">
        <w:t xml:space="preserve"> </w:t>
      </w:r>
      <w:r w:rsidRPr="001555C8">
        <w:rPr>
          <w:lang w:eastAsia="de-CH"/>
        </w:rPr>
        <w:t>und Arbeitgeber</w:t>
      </w:r>
      <w:r w:rsidR="00C30EB9" w:rsidRPr="001555C8">
        <w:rPr>
          <w:lang w:eastAsia="de-CH"/>
        </w:rPr>
        <w:t xml:space="preserve"> entsprechend der heutigen Aufteilung der ordentlichen Beiträge, d.h. 40 / 60.</w:t>
      </w:r>
    </w:p>
    <w:p w:rsidR="00A32622" w:rsidRPr="001555C8" w:rsidRDefault="00DC224D"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Modellmässiges Leistungsziel </w:t>
      </w:r>
      <w:r w:rsidR="00997181" w:rsidRPr="001555C8">
        <w:rPr>
          <w:lang w:eastAsia="de-CH"/>
        </w:rPr>
        <w:t xml:space="preserve">von 60% im Alter 65 </w:t>
      </w:r>
      <w:r w:rsidRPr="001555C8">
        <w:rPr>
          <w:lang w:eastAsia="de-CH"/>
        </w:rPr>
        <w:t>unter Berücksichtigung einer durchschnittlichen "Realverzinsung</w:t>
      </w:r>
      <w:r w:rsidR="00DD0BFC" w:rsidRPr="001555C8">
        <w:rPr>
          <w:rStyle w:val="Funotenzeichen"/>
          <w:lang w:eastAsia="de-CH"/>
        </w:rPr>
        <w:footnoteReference w:id="6"/>
      </w:r>
      <w:r w:rsidRPr="001555C8">
        <w:rPr>
          <w:lang w:eastAsia="de-CH"/>
        </w:rPr>
        <w:t>" von 1.0%</w:t>
      </w:r>
    </w:p>
    <w:p w:rsidR="00997181" w:rsidRPr="001555C8" w:rsidRDefault="00997181" w:rsidP="00786C73">
      <w:pPr>
        <w:pStyle w:val="Textkrper"/>
        <w:numPr>
          <w:ilvl w:val="0"/>
          <w:numId w:val="19"/>
        </w:numPr>
        <w:tabs>
          <w:tab w:val="clear" w:pos="720"/>
          <w:tab w:val="num" w:pos="567"/>
        </w:tabs>
        <w:spacing w:before="120"/>
        <w:ind w:left="567" w:hanging="567"/>
        <w:rPr>
          <w:lang w:eastAsia="de-CH"/>
        </w:rPr>
      </w:pPr>
      <w:r w:rsidRPr="001555C8">
        <w:rPr>
          <w:lang w:eastAsia="de-CH"/>
        </w:rPr>
        <w:t>Besitzstand für die aktiven Versicherten gemäss Kapitel</w:t>
      </w:r>
      <w:r w:rsidR="006668AC" w:rsidRPr="001555C8">
        <w:rPr>
          <w:lang w:eastAsia="de-CH"/>
        </w:rPr>
        <w:t> </w:t>
      </w:r>
      <w:fldSimple w:instr=" REF _Ref355677960 \n \h  \* MERGEFORMAT ">
        <w:r w:rsidR="006674A1">
          <w:rPr>
            <w:lang w:eastAsia="de-CH"/>
          </w:rPr>
          <w:t>8.3</w:t>
        </w:r>
      </w:fldSimple>
    </w:p>
    <w:p w:rsidR="00997181" w:rsidRPr="001555C8" w:rsidRDefault="00997181" w:rsidP="00786C73">
      <w:pPr>
        <w:pStyle w:val="Textkrper"/>
        <w:numPr>
          <w:ilvl w:val="0"/>
          <w:numId w:val="19"/>
        </w:numPr>
        <w:tabs>
          <w:tab w:val="clear" w:pos="720"/>
          <w:tab w:val="num" w:pos="567"/>
        </w:tabs>
        <w:spacing w:before="120"/>
        <w:ind w:left="567" w:hanging="567"/>
        <w:rPr>
          <w:lang w:eastAsia="de-CH"/>
        </w:rPr>
      </w:pPr>
      <w:r w:rsidRPr="001555C8">
        <w:rPr>
          <w:lang w:eastAsia="de-CH"/>
        </w:rPr>
        <w:t>Globaler Ausgangsdeckungsgrad von 80%</w:t>
      </w:r>
      <w:r w:rsidR="00C30FE3" w:rsidRPr="001555C8">
        <w:rPr>
          <w:lang w:eastAsia="de-CH"/>
        </w:rPr>
        <w:t>.</w:t>
      </w:r>
    </w:p>
    <w:p w:rsidR="00997181" w:rsidRPr="001555C8" w:rsidRDefault="00997181" w:rsidP="00786C73">
      <w:pPr>
        <w:pStyle w:val="Textkrper"/>
        <w:numPr>
          <w:ilvl w:val="0"/>
          <w:numId w:val="19"/>
        </w:numPr>
        <w:tabs>
          <w:tab w:val="clear" w:pos="720"/>
          <w:tab w:val="num" w:pos="567"/>
        </w:tabs>
        <w:spacing w:before="120"/>
        <w:ind w:left="567" w:hanging="567"/>
        <w:rPr>
          <w:lang w:eastAsia="de-CH"/>
        </w:rPr>
      </w:pPr>
      <w:r w:rsidRPr="001555C8">
        <w:rPr>
          <w:lang w:eastAsia="de-CH"/>
        </w:rPr>
        <w:t>Wert</w:t>
      </w:r>
      <w:r w:rsidR="0047739C" w:rsidRPr="001555C8">
        <w:rPr>
          <w:lang w:eastAsia="de-CH"/>
        </w:rPr>
        <w:t>schwankungs</w:t>
      </w:r>
      <w:r w:rsidRPr="001555C8">
        <w:rPr>
          <w:lang w:eastAsia="de-CH"/>
        </w:rPr>
        <w:t>- und Umlageschwankungsreserve von 20%</w:t>
      </w:r>
      <w:r w:rsidR="00912673" w:rsidRPr="001555C8">
        <w:rPr>
          <w:lang w:eastAsia="de-CH"/>
        </w:rPr>
        <w:t xml:space="preserve"> </w:t>
      </w:r>
      <w:r w:rsidR="0066344A" w:rsidRPr="001555C8">
        <w:rPr>
          <w:lang w:eastAsia="de-CH"/>
        </w:rPr>
        <w:t xml:space="preserve">der Verbindlichkeiten </w:t>
      </w:r>
      <w:r w:rsidR="00963297" w:rsidRPr="001555C8">
        <w:rPr>
          <w:lang w:eastAsia="de-CH"/>
        </w:rPr>
        <w:t>per</w:t>
      </w:r>
      <w:r w:rsidR="00912673" w:rsidRPr="001555C8">
        <w:rPr>
          <w:lang w:eastAsia="de-CH"/>
        </w:rPr>
        <w:t xml:space="preserve"> Stichtag</w:t>
      </w:r>
    </w:p>
    <w:p w:rsidR="000A4E83" w:rsidRPr="001555C8" w:rsidRDefault="00CC3C29" w:rsidP="00F43B82">
      <w:pPr>
        <w:pStyle w:val="berschrift2"/>
        <w:tabs>
          <w:tab w:val="clear" w:pos="992"/>
          <w:tab w:val="clear" w:pos="2836"/>
        </w:tabs>
        <w:ind w:left="426" w:hanging="426"/>
        <w:rPr>
          <w:lang w:eastAsia="de-CH"/>
        </w:rPr>
      </w:pPr>
      <w:bookmarkStart w:id="91" w:name="_Ref345676701"/>
      <w:bookmarkStart w:id="92" w:name="_Toc358786216"/>
      <w:r w:rsidRPr="001555C8">
        <w:rPr>
          <w:lang w:eastAsia="de-CH"/>
        </w:rPr>
        <w:t>Kosten</w:t>
      </w:r>
      <w:bookmarkEnd w:id="91"/>
      <w:bookmarkEnd w:id="92"/>
    </w:p>
    <w:p w:rsidR="00997181" w:rsidRPr="001555C8" w:rsidRDefault="00997181" w:rsidP="00997181">
      <w:pPr>
        <w:pStyle w:val="StyleCaptionArial10pt"/>
        <w:spacing w:before="240" w:after="120" w:line="240" w:lineRule="auto"/>
        <w:ind w:left="1134" w:hanging="1134"/>
        <w:jc w:val="both"/>
      </w:pPr>
      <w:r w:rsidRPr="001555C8">
        <w:t xml:space="preserve">Tabelle </w:t>
      </w:r>
      <w:r w:rsidR="00896579">
        <w:fldChar w:fldCharType="begin"/>
      </w:r>
      <w:r w:rsidR="00C83F16">
        <w:instrText xml:space="preserve"> SEQ Table \* ARABIC </w:instrText>
      </w:r>
      <w:r w:rsidR="00896579">
        <w:fldChar w:fldCharType="separate"/>
      </w:r>
      <w:r w:rsidR="006674A1">
        <w:rPr>
          <w:noProof/>
        </w:rPr>
        <w:t>3</w:t>
      </w:r>
      <w:r w:rsidR="00896579">
        <w:rPr>
          <w:noProof/>
        </w:rPr>
        <w:fldChar w:fldCharType="end"/>
      </w:r>
      <w:r w:rsidRPr="001555C8">
        <w:t>:</w:t>
      </w:r>
      <w:r w:rsidRPr="001555C8">
        <w:tab/>
        <w:t xml:space="preserve">Übersicht über die Kosten; Werte in </w:t>
      </w:r>
      <w:proofErr w:type="spellStart"/>
      <w:r w:rsidRPr="001555C8">
        <w:t>Mio</w:t>
      </w:r>
      <w:proofErr w:type="spellEnd"/>
      <w:r w:rsidRPr="001555C8">
        <w:t xml:space="preserve"> CHF; Stand </w:t>
      </w:r>
      <w:r w:rsidR="00DC224D" w:rsidRPr="001555C8">
        <w:t>3</w:t>
      </w:r>
      <w:r w:rsidRPr="001555C8">
        <w:t>1.1</w:t>
      </w:r>
      <w:r w:rsidR="00DC224D" w:rsidRPr="001555C8">
        <w:t>2</w:t>
      </w:r>
      <w:r w:rsidRPr="001555C8">
        <w:t>.2012</w:t>
      </w:r>
    </w:p>
    <w:tbl>
      <w:tblPr>
        <w:tblW w:w="6204" w:type="dxa"/>
        <w:tblBorders>
          <w:top w:val="single" w:sz="4" w:space="0" w:color="auto"/>
          <w:left w:val="single" w:sz="4" w:space="0" w:color="auto"/>
          <w:bottom w:val="single" w:sz="4" w:space="0" w:color="auto"/>
          <w:right w:val="single" w:sz="4" w:space="0" w:color="auto"/>
        </w:tblBorders>
        <w:tblLook w:val="04A0"/>
      </w:tblPr>
      <w:tblGrid>
        <w:gridCol w:w="4503"/>
        <w:gridCol w:w="1701"/>
      </w:tblGrid>
      <w:tr w:rsidR="00997181" w:rsidRPr="001555C8" w:rsidTr="000362C9">
        <w:tc>
          <w:tcPr>
            <w:tcW w:w="4503" w:type="dxa"/>
            <w:tcBorders>
              <w:top w:val="single" w:sz="4" w:space="0" w:color="auto"/>
              <w:bottom w:val="single" w:sz="4" w:space="0" w:color="auto"/>
              <w:right w:val="single" w:sz="4" w:space="0" w:color="auto"/>
            </w:tcBorders>
            <w:shd w:val="clear" w:color="auto" w:fill="auto"/>
          </w:tcPr>
          <w:p w:rsidR="00997181" w:rsidRPr="001555C8" w:rsidRDefault="00997181" w:rsidP="000362C9">
            <w:pPr>
              <w:pStyle w:val="Textkrper"/>
              <w:spacing w:before="60" w:after="60"/>
              <w:rPr>
                <w:b/>
                <w:sz w:val="20"/>
                <w:lang w:eastAsia="de-CH"/>
              </w:rPr>
            </w:pPr>
            <w:r w:rsidRPr="001555C8">
              <w:rPr>
                <w:b/>
                <w:sz w:val="20"/>
                <w:lang w:eastAsia="de-CH"/>
              </w:rPr>
              <w:t>Massnahme</w:t>
            </w:r>
          </w:p>
        </w:tc>
        <w:tc>
          <w:tcPr>
            <w:tcW w:w="1701" w:type="dxa"/>
            <w:tcBorders>
              <w:top w:val="single" w:sz="4" w:space="0" w:color="auto"/>
              <w:left w:val="single" w:sz="4" w:space="0" w:color="auto"/>
              <w:bottom w:val="single" w:sz="4" w:space="0" w:color="auto"/>
            </w:tcBorders>
            <w:shd w:val="clear" w:color="auto" w:fill="auto"/>
          </w:tcPr>
          <w:p w:rsidR="00997181" w:rsidRPr="001555C8" w:rsidRDefault="00997181" w:rsidP="000362C9">
            <w:pPr>
              <w:pStyle w:val="Textkrper"/>
              <w:spacing w:before="60" w:after="60"/>
              <w:jc w:val="center"/>
              <w:rPr>
                <w:b/>
                <w:sz w:val="20"/>
                <w:lang w:eastAsia="de-CH"/>
              </w:rPr>
            </w:pPr>
            <w:r w:rsidRPr="001555C8">
              <w:rPr>
                <w:b/>
                <w:sz w:val="20"/>
                <w:lang w:eastAsia="de-CH"/>
              </w:rPr>
              <w:t>Kosten</w:t>
            </w:r>
          </w:p>
        </w:tc>
      </w:tr>
      <w:tr w:rsidR="00997181" w:rsidRPr="001555C8" w:rsidTr="000362C9">
        <w:tc>
          <w:tcPr>
            <w:tcW w:w="4503" w:type="dxa"/>
            <w:tcBorders>
              <w:top w:val="single" w:sz="4" w:space="0" w:color="auto"/>
              <w:right w:val="single" w:sz="4" w:space="0" w:color="auto"/>
            </w:tcBorders>
            <w:shd w:val="clear" w:color="auto" w:fill="auto"/>
          </w:tcPr>
          <w:p w:rsidR="00997181" w:rsidRPr="001555C8" w:rsidRDefault="00997181" w:rsidP="000362C9">
            <w:pPr>
              <w:pStyle w:val="Textkrper"/>
              <w:spacing w:before="60"/>
              <w:rPr>
                <w:sz w:val="20"/>
                <w:lang w:eastAsia="de-CH"/>
              </w:rPr>
            </w:pPr>
            <w:r w:rsidRPr="001555C8">
              <w:rPr>
                <w:sz w:val="20"/>
                <w:lang w:eastAsia="de-CH"/>
              </w:rPr>
              <w:t>Fehlbetrag</w:t>
            </w:r>
          </w:p>
        </w:tc>
        <w:tc>
          <w:tcPr>
            <w:tcW w:w="1701" w:type="dxa"/>
            <w:tcBorders>
              <w:top w:val="single" w:sz="4" w:space="0" w:color="auto"/>
              <w:left w:val="single" w:sz="4" w:space="0" w:color="auto"/>
            </w:tcBorders>
            <w:shd w:val="clear" w:color="auto" w:fill="auto"/>
          </w:tcPr>
          <w:p w:rsidR="00997181" w:rsidRPr="001555C8" w:rsidRDefault="00997181" w:rsidP="005C6296">
            <w:pPr>
              <w:pStyle w:val="Textkrper"/>
              <w:tabs>
                <w:tab w:val="right" w:pos="1451"/>
              </w:tabs>
              <w:spacing w:before="60"/>
              <w:ind w:left="34" w:hanging="34"/>
              <w:jc w:val="center"/>
              <w:rPr>
                <w:sz w:val="20"/>
                <w:lang w:eastAsia="de-CH"/>
              </w:rPr>
            </w:pPr>
            <w:r w:rsidRPr="001555C8">
              <w:rPr>
                <w:sz w:val="20"/>
                <w:lang w:eastAsia="de-CH"/>
              </w:rPr>
              <w:t>42.</w:t>
            </w:r>
            <w:r w:rsidR="005C6296" w:rsidRPr="001555C8">
              <w:rPr>
                <w:sz w:val="20"/>
                <w:lang w:eastAsia="de-CH"/>
              </w:rPr>
              <w:t>5</w:t>
            </w:r>
            <w:r w:rsidRPr="001555C8">
              <w:rPr>
                <w:sz w:val="20"/>
                <w:lang w:eastAsia="de-CH"/>
              </w:rPr>
              <w:t xml:space="preserve"> Mio</w:t>
            </w:r>
            <w:r w:rsidR="0090791F">
              <w:rPr>
                <w:sz w:val="20"/>
                <w:lang w:eastAsia="de-CH"/>
              </w:rPr>
              <w:t>.</w:t>
            </w:r>
          </w:p>
        </w:tc>
      </w:tr>
      <w:tr w:rsidR="00997181" w:rsidRPr="001555C8" w:rsidTr="000362C9">
        <w:tc>
          <w:tcPr>
            <w:tcW w:w="4503" w:type="dxa"/>
            <w:tcBorders>
              <w:right w:val="single" w:sz="4" w:space="0" w:color="auto"/>
            </w:tcBorders>
            <w:shd w:val="clear" w:color="auto" w:fill="auto"/>
          </w:tcPr>
          <w:p w:rsidR="00997181" w:rsidRPr="001555C8" w:rsidRDefault="00997181" w:rsidP="00997181">
            <w:pPr>
              <w:pStyle w:val="Textkrper"/>
              <w:rPr>
                <w:sz w:val="20"/>
                <w:lang w:eastAsia="de-CH"/>
              </w:rPr>
            </w:pPr>
            <w:r w:rsidRPr="001555C8">
              <w:rPr>
                <w:sz w:val="20"/>
                <w:lang w:eastAsia="de-CH"/>
              </w:rPr>
              <w:t>Besitzstand aktive Versicherte</w:t>
            </w:r>
          </w:p>
        </w:tc>
        <w:tc>
          <w:tcPr>
            <w:tcW w:w="1701" w:type="dxa"/>
            <w:tcBorders>
              <w:left w:val="single" w:sz="4" w:space="0" w:color="auto"/>
            </w:tcBorders>
            <w:shd w:val="clear" w:color="auto" w:fill="auto"/>
          </w:tcPr>
          <w:p w:rsidR="00997181" w:rsidRPr="001555C8" w:rsidRDefault="00BC5A9B" w:rsidP="00BC5A9B">
            <w:pPr>
              <w:pStyle w:val="Textkrper"/>
              <w:tabs>
                <w:tab w:val="right" w:pos="1451"/>
              </w:tabs>
              <w:jc w:val="center"/>
              <w:rPr>
                <w:sz w:val="20"/>
                <w:lang w:eastAsia="de-CH"/>
              </w:rPr>
            </w:pPr>
            <w:r w:rsidRPr="001555C8">
              <w:rPr>
                <w:sz w:val="20"/>
                <w:lang w:eastAsia="de-CH"/>
              </w:rPr>
              <w:t xml:space="preserve">  9</w:t>
            </w:r>
            <w:r w:rsidR="00997181" w:rsidRPr="001555C8">
              <w:rPr>
                <w:sz w:val="20"/>
                <w:lang w:eastAsia="de-CH"/>
              </w:rPr>
              <w:t>.</w:t>
            </w:r>
            <w:r w:rsidRPr="001555C8">
              <w:rPr>
                <w:sz w:val="20"/>
                <w:lang w:eastAsia="de-CH"/>
              </w:rPr>
              <w:t>4</w:t>
            </w:r>
            <w:r w:rsidR="00997181" w:rsidRPr="001555C8">
              <w:rPr>
                <w:sz w:val="20"/>
                <w:lang w:eastAsia="de-CH"/>
              </w:rPr>
              <w:t xml:space="preserve"> Mio</w:t>
            </w:r>
            <w:r w:rsidR="0090791F">
              <w:rPr>
                <w:sz w:val="20"/>
                <w:lang w:eastAsia="de-CH"/>
              </w:rPr>
              <w:t>.</w:t>
            </w:r>
          </w:p>
        </w:tc>
      </w:tr>
      <w:tr w:rsidR="00997181" w:rsidRPr="001555C8" w:rsidTr="000362C9">
        <w:tc>
          <w:tcPr>
            <w:tcW w:w="4503" w:type="dxa"/>
            <w:tcBorders>
              <w:right w:val="single" w:sz="4" w:space="0" w:color="auto"/>
            </w:tcBorders>
            <w:shd w:val="clear" w:color="auto" w:fill="auto"/>
          </w:tcPr>
          <w:p w:rsidR="00997181" w:rsidRPr="001555C8" w:rsidRDefault="00997181" w:rsidP="000362C9">
            <w:pPr>
              <w:pStyle w:val="Textkrper"/>
              <w:spacing w:after="60"/>
              <w:rPr>
                <w:b/>
                <w:sz w:val="20"/>
                <w:lang w:eastAsia="de-CH"/>
              </w:rPr>
            </w:pPr>
            <w:r w:rsidRPr="001555C8">
              <w:rPr>
                <w:b/>
                <w:sz w:val="20"/>
                <w:lang w:eastAsia="de-CH"/>
              </w:rPr>
              <w:t>Total Kosten</w:t>
            </w:r>
          </w:p>
        </w:tc>
        <w:tc>
          <w:tcPr>
            <w:tcW w:w="1701" w:type="dxa"/>
            <w:tcBorders>
              <w:left w:val="single" w:sz="4" w:space="0" w:color="auto"/>
              <w:bottom w:val="single" w:sz="4" w:space="0" w:color="auto"/>
            </w:tcBorders>
            <w:shd w:val="clear" w:color="auto" w:fill="auto"/>
          </w:tcPr>
          <w:p w:rsidR="00997181" w:rsidRPr="001555C8" w:rsidRDefault="00BC5A9B" w:rsidP="005C6296">
            <w:pPr>
              <w:pStyle w:val="Textkrper"/>
              <w:spacing w:after="60"/>
              <w:jc w:val="center"/>
              <w:rPr>
                <w:b/>
                <w:sz w:val="20"/>
                <w:lang w:eastAsia="de-CH"/>
              </w:rPr>
            </w:pPr>
            <w:r w:rsidRPr="001555C8">
              <w:rPr>
                <w:b/>
                <w:sz w:val="20"/>
                <w:lang w:eastAsia="de-CH"/>
              </w:rPr>
              <w:t>51</w:t>
            </w:r>
            <w:r w:rsidR="00CC3C29" w:rsidRPr="001555C8">
              <w:rPr>
                <w:b/>
                <w:sz w:val="20"/>
                <w:lang w:eastAsia="de-CH"/>
              </w:rPr>
              <w:t>.</w:t>
            </w:r>
            <w:r w:rsidR="005C6296" w:rsidRPr="001555C8">
              <w:rPr>
                <w:b/>
                <w:sz w:val="20"/>
                <w:lang w:eastAsia="de-CH"/>
              </w:rPr>
              <w:t>9</w:t>
            </w:r>
            <w:r w:rsidR="00CC3C29" w:rsidRPr="001555C8">
              <w:rPr>
                <w:b/>
                <w:sz w:val="20"/>
                <w:lang w:eastAsia="de-CH"/>
              </w:rPr>
              <w:t xml:space="preserve"> Mio</w:t>
            </w:r>
            <w:r w:rsidR="0090791F">
              <w:rPr>
                <w:b/>
                <w:sz w:val="20"/>
                <w:lang w:eastAsia="de-CH"/>
              </w:rPr>
              <w:t>.</w:t>
            </w:r>
          </w:p>
        </w:tc>
      </w:tr>
    </w:tbl>
    <w:p w:rsidR="00CC3C29" w:rsidRPr="001555C8" w:rsidRDefault="00CC3C29" w:rsidP="00CC3C29">
      <w:pPr>
        <w:pStyle w:val="Textkrper"/>
        <w:rPr>
          <w:lang w:eastAsia="de-CH"/>
        </w:rPr>
      </w:pPr>
      <w:bookmarkStart w:id="93" w:name="_Toc327346442"/>
    </w:p>
    <w:p w:rsidR="00CC3C29" w:rsidRPr="001555C8" w:rsidRDefault="00963297" w:rsidP="00CC3C29">
      <w:pPr>
        <w:pStyle w:val="Textkrper"/>
        <w:rPr>
          <w:lang w:eastAsia="de-CH"/>
        </w:rPr>
      </w:pPr>
      <w:r w:rsidRPr="001555C8">
        <w:rPr>
          <w:lang w:eastAsia="de-CH"/>
        </w:rPr>
        <w:t xml:space="preserve">Mittel im Umfang von </w:t>
      </w:r>
      <w:r w:rsidR="00CC3C29" w:rsidRPr="001555C8">
        <w:rPr>
          <w:lang w:eastAsia="de-CH"/>
        </w:rPr>
        <w:t>CHF </w:t>
      </w:r>
      <w:r w:rsidR="00BC5A9B" w:rsidRPr="001555C8">
        <w:rPr>
          <w:lang w:eastAsia="de-CH"/>
        </w:rPr>
        <w:t>51</w:t>
      </w:r>
      <w:r w:rsidR="00CC3C29" w:rsidRPr="001555C8">
        <w:rPr>
          <w:lang w:eastAsia="de-CH"/>
        </w:rPr>
        <w:t>.</w:t>
      </w:r>
      <w:r w:rsidR="005C6296" w:rsidRPr="001555C8">
        <w:rPr>
          <w:lang w:eastAsia="de-CH"/>
        </w:rPr>
        <w:t>9 </w:t>
      </w:r>
      <w:r w:rsidR="00CC3C29" w:rsidRPr="001555C8">
        <w:rPr>
          <w:lang w:eastAsia="de-CH"/>
        </w:rPr>
        <w:t>Mio</w:t>
      </w:r>
      <w:r w:rsidR="0090791F">
        <w:rPr>
          <w:lang w:eastAsia="de-CH"/>
        </w:rPr>
        <w:t>.</w:t>
      </w:r>
      <w:r w:rsidR="00CC3C29" w:rsidRPr="001555C8">
        <w:rPr>
          <w:lang w:eastAsia="de-CH"/>
        </w:rPr>
        <w:t xml:space="preserve"> </w:t>
      </w:r>
      <w:r w:rsidRPr="001555C8">
        <w:rPr>
          <w:lang w:eastAsia="de-CH"/>
        </w:rPr>
        <w:t>sind nötig</w:t>
      </w:r>
      <w:r w:rsidR="00CC3C29" w:rsidRPr="001555C8">
        <w:rPr>
          <w:lang w:eastAsia="de-CH"/>
        </w:rPr>
        <w:t xml:space="preserve">, um nach der notwendigen Senkung des technischen Zinssatzes auf 3.0% einen Deckungsgrad von 100% zu erreichen. Da </w:t>
      </w:r>
      <w:r w:rsidRPr="001555C8">
        <w:rPr>
          <w:lang w:eastAsia="de-CH"/>
        </w:rPr>
        <w:t>(</w:t>
      </w:r>
      <w:r w:rsidR="00CC3C29" w:rsidRPr="001555C8">
        <w:rPr>
          <w:lang w:eastAsia="de-CH"/>
        </w:rPr>
        <w:t>wie unter Kapitel </w:t>
      </w:r>
      <w:fldSimple w:instr=" REF _Ref345672549 \r \h  \* MERGEFORMAT ">
        <w:r w:rsidR="006674A1">
          <w:rPr>
            <w:lang w:eastAsia="de-CH"/>
          </w:rPr>
          <w:t>4.2.5</w:t>
        </w:r>
      </w:fldSimple>
      <w:r w:rsidR="00CC3C29" w:rsidRPr="001555C8">
        <w:rPr>
          <w:lang w:eastAsia="de-CH"/>
        </w:rPr>
        <w:t xml:space="preserve"> aufgezeigt</w:t>
      </w:r>
      <w:r w:rsidR="00D32508" w:rsidRPr="001555C8">
        <w:rPr>
          <w:lang w:eastAsia="de-CH"/>
        </w:rPr>
        <w:t>)</w:t>
      </w:r>
      <w:r w:rsidR="00CC3C29" w:rsidRPr="001555C8">
        <w:rPr>
          <w:lang w:eastAsia="de-CH"/>
        </w:rPr>
        <w:t xml:space="preserve"> ein Ausgangsdeckungsgrad von 80% plus eine </w:t>
      </w:r>
      <w:r w:rsidR="0047739C" w:rsidRPr="001555C8">
        <w:rPr>
          <w:lang w:eastAsia="de-CH"/>
        </w:rPr>
        <w:t xml:space="preserve">Wertschwankungs- und Umlageschwankungsreserve </w:t>
      </w:r>
      <w:r w:rsidR="00CC3C29" w:rsidRPr="001555C8">
        <w:rPr>
          <w:lang w:eastAsia="de-CH"/>
        </w:rPr>
        <w:t xml:space="preserve">von 20% </w:t>
      </w:r>
      <w:r w:rsidR="0066344A" w:rsidRPr="001555C8">
        <w:rPr>
          <w:lang w:eastAsia="de-CH"/>
        </w:rPr>
        <w:t>der Verbindlichkeiten, d.h. von 20 Prozentpun</w:t>
      </w:r>
      <w:r w:rsidR="0066344A" w:rsidRPr="001555C8">
        <w:rPr>
          <w:lang w:eastAsia="de-CH"/>
        </w:rPr>
        <w:t>k</w:t>
      </w:r>
      <w:r w:rsidR="0066344A" w:rsidRPr="001555C8">
        <w:rPr>
          <w:lang w:eastAsia="de-CH"/>
        </w:rPr>
        <w:t xml:space="preserve">ten, </w:t>
      </w:r>
      <w:r w:rsidR="00912673" w:rsidRPr="001555C8">
        <w:rPr>
          <w:lang w:eastAsia="de-CH"/>
        </w:rPr>
        <w:t>vorgesehen</w:t>
      </w:r>
      <w:r w:rsidR="00CC3C29" w:rsidRPr="001555C8">
        <w:rPr>
          <w:lang w:eastAsia="de-CH"/>
        </w:rPr>
        <w:t xml:space="preserve"> werden soll, </w:t>
      </w:r>
      <w:r w:rsidRPr="001555C8">
        <w:rPr>
          <w:lang w:eastAsia="de-CH"/>
        </w:rPr>
        <w:t xml:space="preserve">sind </w:t>
      </w:r>
      <w:r w:rsidR="00CC3C29" w:rsidRPr="001555C8">
        <w:rPr>
          <w:lang w:eastAsia="de-CH"/>
        </w:rPr>
        <w:t xml:space="preserve">dies </w:t>
      </w:r>
      <w:r w:rsidRPr="001555C8">
        <w:rPr>
          <w:lang w:eastAsia="de-CH"/>
        </w:rPr>
        <w:t xml:space="preserve">gleichzeitig auch die notwendigen Mittel </w:t>
      </w:r>
      <w:r w:rsidR="00CC3C29" w:rsidRPr="001555C8">
        <w:rPr>
          <w:lang w:eastAsia="de-CH"/>
        </w:rPr>
        <w:t xml:space="preserve">zur Erreichung dieser </w:t>
      </w:r>
      <w:r w:rsidR="00912673" w:rsidRPr="001555C8">
        <w:rPr>
          <w:lang w:eastAsia="de-CH"/>
        </w:rPr>
        <w:t>Vorgabe</w:t>
      </w:r>
      <w:r w:rsidR="00CC3C29" w:rsidRPr="001555C8">
        <w:rPr>
          <w:lang w:eastAsia="de-CH"/>
        </w:rPr>
        <w:t>.</w:t>
      </w:r>
    </w:p>
    <w:bookmarkEnd w:id="93"/>
    <w:p w:rsidR="00FF29D7" w:rsidRPr="001555C8" w:rsidRDefault="00FF29D7">
      <w:pPr>
        <w:overflowPunct/>
        <w:autoSpaceDE/>
        <w:autoSpaceDN/>
        <w:adjustRightInd/>
        <w:textAlignment w:val="auto"/>
        <w:rPr>
          <w:rFonts w:cs="Arial"/>
          <w:b/>
          <w:bCs/>
          <w:iCs/>
          <w:szCs w:val="28"/>
          <w:lang w:eastAsia="de-CH"/>
        </w:rPr>
      </w:pPr>
      <w:r w:rsidRPr="001555C8">
        <w:rPr>
          <w:lang w:eastAsia="de-CH"/>
        </w:rPr>
        <w:br w:type="page"/>
      </w:r>
    </w:p>
    <w:p w:rsidR="000A4E83" w:rsidRPr="001555C8" w:rsidRDefault="00CC3C29" w:rsidP="00F43B82">
      <w:pPr>
        <w:pStyle w:val="berschrift2"/>
        <w:tabs>
          <w:tab w:val="clear" w:pos="992"/>
          <w:tab w:val="clear" w:pos="2836"/>
        </w:tabs>
        <w:ind w:left="426" w:hanging="426"/>
        <w:rPr>
          <w:lang w:eastAsia="de-CH"/>
        </w:rPr>
      </w:pPr>
      <w:bookmarkStart w:id="94" w:name="_Toc358786217"/>
      <w:r w:rsidRPr="001555C8">
        <w:rPr>
          <w:lang w:eastAsia="de-CH"/>
        </w:rPr>
        <w:t>Art und Weise der Finanzierung der Kosten</w:t>
      </w:r>
      <w:bookmarkEnd w:id="94"/>
    </w:p>
    <w:p w:rsidR="009A5474" w:rsidRPr="001555C8" w:rsidRDefault="009A5474" w:rsidP="009A5474">
      <w:pPr>
        <w:pStyle w:val="berschrift3"/>
        <w:rPr>
          <w:lang w:eastAsia="de-CH"/>
        </w:rPr>
      </w:pPr>
      <w:bookmarkStart w:id="95" w:name="_Toc358786218"/>
      <w:r w:rsidRPr="001555C8">
        <w:rPr>
          <w:lang w:eastAsia="de-CH"/>
        </w:rPr>
        <w:t>Vorschlag des Modells einer Forderung</w:t>
      </w:r>
      <w:bookmarkEnd w:id="95"/>
    </w:p>
    <w:p w:rsidR="00E06A45" w:rsidRPr="001555C8" w:rsidRDefault="00E06A45" w:rsidP="00E06A45">
      <w:pPr>
        <w:pStyle w:val="Textkrper"/>
        <w:rPr>
          <w:lang w:eastAsia="de-CH"/>
        </w:rPr>
      </w:pPr>
      <w:r w:rsidRPr="001555C8">
        <w:rPr>
          <w:lang w:eastAsia="de-CH"/>
        </w:rPr>
        <w:t xml:space="preserve">Bei der </w:t>
      </w:r>
      <w:r w:rsidR="00C30FE3" w:rsidRPr="001555C8">
        <w:rPr>
          <w:lang w:eastAsia="de-CH"/>
        </w:rPr>
        <w:t>Finanzierung</w:t>
      </w:r>
      <w:r w:rsidRPr="001555C8">
        <w:rPr>
          <w:lang w:eastAsia="de-CH"/>
        </w:rPr>
        <w:t xml:space="preserve"> gibt es </w:t>
      </w:r>
      <w:r w:rsidR="009A5474" w:rsidRPr="001555C8">
        <w:rPr>
          <w:lang w:eastAsia="de-CH"/>
        </w:rPr>
        <w:t xml:space="preserve">im Grundsatz </w:t>
      </w:r>
      <w:r w:rsidRPr="001555C8">
        <w:rPr>
          <w:lang w:eastAsia="de-CH"/>
        </w:rPr>
        <w:t>zwei Varianten</w:t>
      </w:r>
      <w:r w:rsidR="009A5474" w:rsidRPr="001555C8">
        <w:rPr>
          <w:lang w:eastAsia="de-CH"/>
        </w:rPr>
        <w:t xml:space="preserve">, wobei eine Kombination möglich </w:t>
      </w:r>
      <w:r w:rsidR="00B82782" w:rsidRPr="001555C8">
        <w:rPr>
          <w:lang w:eastAsia="de-CH"/>
        </w:rPr>
        <w:t>wäre</w:t>
      </w:r>
      <w:r w:rsidRPr="001555C8">
        <w:rPr>
          <w:lang w:eastAsia="de-CH"/>
        </w:rPr>
        <w:t xml:space="preserve">: Bei der einen wird der </w:t>
      </w:r>
      <w:r w:rsidR="009A5474" w:rsidRPr="001555C8">
        <w:rPr>
          <w:lang w:eastAsia="de-CH"/>
        </w:rPr>
        <w:t>PK Olten</w:t>
      </w:r>
      <w:r w:rsidRPr="001555C8">
        <w:rPr>
          <w:lang w:eastAsia="de-CH"/>
        </w:rPr>
        <w:t xml:space="preserve"> das notwendige Kapital per Stichtag zur Verfügung gestellt. Damit </w:t>
      </w:r>
      <w:r w:rsidR="009A5474" w:rsidRPr="001555C8">
        <w:rPr>
          <w:lang w:eastAsia="de-CH"/>
        </w:rPr>
        <w:t>muss sie</w:t>
      </w:r>
      <w:r w:rsidRPr="001555C8">
        <w:rPr>
          <w:lang w:eastAsia="de-CH"/>
        </w:rPr>
        <w:t xml:space="preserve"> diese Finanzmittel anlegen und einen entsprechenden Ertrag generieren. Diese Variante hat den grossen Nachteil, dass die </w:t>
      </w:r>
      <w:r w:rsidR="009A5474" w:rsidRPr="001555C8">
        <w:rPr>
          <w:lang w:eastAsia="de-CH"/>
        </w:rPr>
        <w:t>PK Olten</w:t>
      </w:r>
      <w:r w:rsidRPr="001555C8">
        <w:rPr>
          <w:lang w:eastAsia="de-CH"/>
        </w:rPr>
        <w:t xml:space="preserve"> innerhalb eines engen Zeitfensters </w:t>
      </w:r>
      <w:r w:rsidR="009A5474" w:rsidRPr="001555C8">
        <w:rPr>
          <w:lang w:eastAsia="de-CH"/>
        </w:rPr>
        <w:t>einen</w:t>
      </w:r>
      <w:r w:rsidR="00D03104" w:rsidRPr="001555C8">
        <w:rPr>
          <w:lang w:eastAsia="de-CH"/>
        </w:rPr>
        <w:t xml:space="preserve"> für sie</w:t>
      </w:r>
      <w:r w:rsidR="009A5474" w:rsidRPr="001555C8">
        <w:rPr>
          <w:lang w:eastAsia="de-CH"/>
        </w:rPr>
        <w:t xml:space="preserve"> relativ </w:t>
      </w:r>
      <w:r w:rsidRPr="001555C8">
        <w:rPr>
          <w:lang w:eastAsia="de-CH"/>
        </w:rPr>
        <w:t>grosse</w:t>
      </w:r>
      <w:r w:rsidR="009A5474" w:rsidRPr="001555C8">
        <w:rPr>
          <w:lang w:eastAsia="de-CH"/>
        </w:rPr>
        <w:t>n</w:t>
      </w:r>
      <w:r w:rsidRPr="001555C8">
        <w:rPr>
          <w:lang w:eastAsia="de-CH"/>
        </w:rPr>
        <w:t xml:space="preserve"> </w:t>
      </w:r>
      <w:r w:rsidR="009A5474" w:rsidRPr="001555C8">
        <w:rPr>
          <w:lang w:eastAsia="de-CH"/>
        </w:rPr>
        <w:t>Betrag</w:t>
      </w:r>
      <w:r w:rsidRPr="001555C8">
        <w:rPr>
          <w:lang w:eastAsia="de-CH"/>
        </w:rPr>
        <w:t xml:space="preserve"> anlegen muss. Gerade in einem Wirtschafts- und Börsenumfeld, das von grossen Unsicherheiten geprägt ist, stellt die nachhaltige und renditeorientierte Vermögensanlage eine grosse Herausforderung dar und die Mittelallokation ist mit relativ grossen Risiken verbunden. </w:t>
      </w:r>
    </w:p>
    <w:p w:rsidR="009A5474" w:rsidRPr="001555C8" w:rsidRDefault="009A5474" w:rsidP="00E06A45">
      <w:pPr>
        <w:pStyle w:val="Textkrper"/>
        <w:rPr>
          <w:lang w:eastAsia="de-CH"/>
        </w:rPr>
      </w:pPr>
    </w:p>
    <w:p w:rsidR="00E06A45" w:rsidRPr="001555C8" w:rsidRDefault="00E06A45" w:rsidP="00E06A45">
      <w:pPr>
        <w:pStyle w:val="Textkrper"/>
        <w:rPr>
          <w:lang w:eastAsia="de-CH"/>
        </w:rPr>
      </w:pPr>
      <w:r w:rsidRPr="001555C8">
        <w:rPr>
          <w:lang w:eastAsia="de-CH"/>
        </w:rPr>
        <w:t xml:space="preserve">Die </w:t>
      </w:r>
      <w:r w:rsidR="00482062" w:rsidRPr="001555C8">
        <w:rPr>
          <w:lang w:eastAsia="de-CH"/>
        </w:rPr>
        <w:t>Finanzierung</w:t>
      </w:r>
      <w:r w:rsidRPr="001555C8">
        <w:rPr>
          <w:lang w:eastAsia="de-CH"/>
        </w:rPr>
        <w:t xml:space="preserve"> kann aber auch per Stichtag erfolgen, indem die per Stichtag notwendige Finanzierung als Forderung anerkannt wird. Die Forderung ist zu verzinsen und </w:t>
      </w:r>
      <w:r w:rsidR="009A5474" w:rsidRPr="001555C8">
        <w:rPr>
          <w:lang w:eastAsia="de-CH"/>
        </w:rPr>
        <w:t xml:space="preserve">– gemäss Vorschlag – </w:t>
      </w:r>
      <w:r w:rsidRPr="001555C8">
        <w:rPr>
          <w:lang w:eastAsia="de-CH"/>
        </w:rPr>
        <w:t xml:space="preserve">in </w:t>
      </w:r>
      <w:r w:rsidR="00BC5A9B" w:rsidRPr="001555C8">
        <w:rPr>
          <w:lang w:eastAsia="de-CH"/>
        </w:rPr>
        <w:t>3</w:t>
      </w:r>
      <w:r w:rsidRPr="001555C8">
        <w:rPr>
          <w:lang w:eastAsia="de-CH"/>
        </w:rPr>
        <w:t xml:space="preserve">0 jährlichen Annuitäten zu amortisieren. </w:t>
      </w:r>
      <w:r w:rsidR="00C30FE3" w:rsidRPr="001555C8">
        <w:rPr>
          <w:lang w:eastAsia="de-CH"/>
        </w:rPr>
        <w:t xml:space="preserve">Da die Kasse eine Sollrendite von 3.5% ausweist (= technischer Zinssatz von 3.0% </w:t>
      </w:r>
      <w:r w:rsidR="00DD0BFC" w:rsidRPr="001555C8">
        <w:rPr>
          <w:lang w:eastAsia="de-CH"/>
        </w:rPr>
        <w:t>bzw. Ziel Nominalverzinsung für die aktiven Versicherten sowie</w:t>
      </w:r>
      <w:r w:rsidR="00C30FE3" w:rsidRPr="001555C8">
        <w:rPr>
          <w:lang w:eastAsia="de-CH"/>
        </w:rPr>
        <w:t xml:space="preserve"> Rückstellung Zunahme von Lebenserwartung von 0.5%)</w:t>
      </w:r>
      <w:r w:rsidR="005B764E" w:rsidRPr="001555C8">
        <w:rPr>
          <w:lang w:eastAsia="de-CH"/>
        </w:rPr>
        <w:t>,</w:t>
      </w:r>
      <w:r w:rsidR="00BC5A9B" w:rsidRPr="001555C8">
        <w:rPr>
          <w:lang w:eastAsia="de-CH"/>
        </w:rPr>
        <w:t xml:space="preserve"> </w:t>
      </w:r>
      <w:r w:rsidR="009A5474" w:rsidRPr="001555C8">
        <w:rPr>
          <w:lang w:eastAsia="de-CH"/>
        </w:rPr>
        <w:t>ist als Zins ebenfalls 3.</w:t>
      </w:r>
      <w:r w:rsidR="00C30FE3" w:rsidRPr="001555C8">
        <w:rPr>
          <w:lang w:eastAsia="de-CH"/>
        </w:rPr>
        <w:t>5</w:t>
      </w:r>
      <w:r w:rsidR="009A5474" w:rsidRPr="001555C8">
        <w:rPr>
          <w:lang w:eastAsia="de-CH"/>
        </w:rPr>
        <w:t xml:space="preserve">% vorzusehen. Dieser Zinssatz wirkt gerade im heutigen Tiefzinsumfeld stabilisierend. Mit einem solchen Vorgehen </w:t>
      </w:r>
      <w:r w:rsidRPr="001555C8">
        <w:rPr>
          <w:lang w:eastAsia="de-CH"/>
        </w:rPr>
        <w:t>erfolgt eine Diversifikation des Investitionszei</w:t>
      </w:r>
      <w:r w:rsidRPr="001555C8">
        <w:rPr>
          <w:lang w:eastAsia="de-CH"/>
        </w:rPr>
        <w:t>t</w:t>
      </w:r>
      <w:r w:rsidRPr="001555C8">
        <w:rPr>
          <w:lang w:eastAsia="de-CH"/>
        </w:rPr>
        <w:t>punkts.</w:t>
      </w:r>
    </w:p>
    <w:p w:rsidR="00B82782" w:rsidRPr="001555C8" w:rsidRDefault="00B82782" w:rsidP="00E06A45">
      <w:pPr>
        <w:pStyle w:val="Textkrper"/>
        <w:rPr>
          <w:lang w:eastAsia="de-CH"/>
        </w:rPr>
      </w:pPr>
    </w:p>
    <w:p w:rsidR="00B82782" w:rsidRPr="001555C8" w:rsidRDefault="00B82782" w:rsidP="00B82782">
      <w:pPr>
        <w:pStyle w:val="Textkrper"/>
        <w:rPr>
          <w:lang w:eastAsia="de-CH"/>
        </w:rPr>
      </w:pPr>
      <w:r w:rsidRPr="001555C8">
        <w:rPr>
          <w:lang w:eastAsia="de-CH"/>
        </w:rPr>
        <w:t xml:space="preserve">Dem Nachteil der Verzinsung steht der Vorteil gegenüber, dass die PK Olten die zusätzlichen Finanzmittel nicht im ganzen Umfang in einem Jahr anlegen muss, sondern über einen Zeitraum von </w:t>
      </w:r>
      <w:r w:rsidR="00BC5A9B" w:rsidRPr="001555C8">
        <w:rPr>
          <w:lang w:eastAsia="de-CH"/>
        </w:rPr>
        <w:t>3</w:t>
      </w:r>
      <w:r w:rsidRPr="001555C8">
        <w:rPr>
          <w:lang w:eastAsia="de-CH"/>
        </w:rPr>
        <w:t>0</w:t>
      </w:r>
      <w:r w:rsidR="00BC5A9B" w:rsidRPr="001555C8">
        <w:rPr>
          <w:lang w:eastAsia="de-CH"/>
        </w:rPr>
        <w:t> </w:t>
      </w:r>
      <w:r w:rsidRPr="001555C8">
        <w:rPr>
          <w:lang w:eastAsia="de-CH"/>
        </w:rPr>
        <w:t>Jahren. Die finanzielle Stabilität wird aufgrund der fixen Verzinsung der Forderung und des schrittweisen Kapitalzuflusses positiv beeinflusst. Dieser Umstand hat angesichts der Unsicherheit der Finanzmärkte eine grosse Bedeutung und liegt sowohl im Interesse der Anschlüsse als auch der Versicherten.</w:t>
      </w:r>
    </w:p>
    <w:p w:rsidR="00B82782" w:rsidRPr="001555C8" w:rsidRDefault="00B82782" w:rsidP="00B82782">
      <w:pPr>
        <w:pStyle w:val="Textkrper"/>
        <w:rPr>
          <w:lang w:eastAsia="de-CH"/>
        </w:rPr>
      </w:pPr>
    </w:p>
    <w:p w:rsidR="00B82782" w:rsidRPr="001555C8" w:rsidRDefault="00B82782" w:rsidP="00B82782">
      <w:pPr>
        <w:pStyle w:val="Textkrper"/>
        <w:rPr>
          <w:lang w:eastAsia="de-CH"/>
        </w:rPr>
      </w:pPr>
      <w:r w:rsidRPr="001555C8">
        <w:rPr>
          <w:lang w:eastAsia="de-CH"/>
        </w:rPr>
        <w:t xml:space="preserve">Bei einzelnen angeschlossenen </w:t>
      </w:r>
      <w:proofErr w:type="spellStart"/>
      <w:r w:rsidRPr="001555C8">
        <w:rPr>
          <w:lang w:eastAsia="de-CH"/>
        </w:rPr>
        <w:t>Arbeitgebenden</w:t>
      </w:r>
      <w:proofErr w:type="spellEnd"/>
      <w:r w:rsidRPr="001555C8">
        <w:rPr>
          <w:lang w:eastAsia="de-CH"/>
        </w:rPr>
        <w:t xml:space="preserve"> kann es zu bilanztechnischen Problemen kommen, welche im Rahmen der Umsetzung noch zu lösen sind. Die Amortisation im Rahmen von Annuitäten ist sinnvoller als eine Einmalzahlung</w:t>
      </w:r>
      <w:r w:rsidR="00D32508" w:rsidRPr="001555C8">
        <w:rPr>
          <w:lang w:eastAsia="de-CH"/>
        </w:rPr>
        <w:t>.</w:t>
      </w:r>
      <w:r w:rsidRPr="001555C8">
        <w:rPr>
          <w:lang w:eastAsia="de-CH"/>
        </w:rPr>
        <w:t xml:space="preserve"> </w:t>
      </w:r>
      <w:r w:rsidR="00D32508" w:rsidRPr="001555C8">
        <w:rPr>
          <w:lang w:eastAsia="de-CH"/>
        </w:rPr>
        <w:t>D</w:t>
      </w:r>
      <w:r w:rsidRPr="001555C8">
        <w:rPr>
          <w:lang w:eastAsia="de-CH"/>
        </w:rPr>
        <w:t>ies vor allem hinsichtlich der Reduktion der Anlagerisiken sowie der sofort gewonnenen Stabilität, welche unter anderem auch im Interesse de</w:t>
      </w:r>
      <w:r w:rsidR="00490D1D" w:rsidRPr="001555C8">
        <w:rPr>
          <w:lang w:eastAsia="de-CH"/>
        </w:rPr>
        <w:t>r</w:t>
      </w:r>
      <w:r w:rsidRPr="001555C8">
        <w:rPr>
          <w:lang w:eastAsia="de-CH"/>
        </w:rPr>
        <w:t xml:space="preserve"> </w:t>
      </w:r>
      <w:r w:rsidR="00CF07E0" w:rsidRPr="001555C8">
        <w:rPr>
          <w:lang w:eastAsia="de-CH"/>
        </w:rPr>
        <w:t>Stadt</w:t>
      </w:r>
      <w:r w:rsidRPr="001555C8">
        <w:rPr>
          <w:lang w:eastAsia="de-CH"/>
        </w:rPr>
        <w:t xml:space="preserve"> ist.</w:t>
      </w:r>
    </w:p>
    <w:p w:rsidR="00A11DBF" w:rsidRPr="001555C8" w:rsidRDefault="00A11DBF" w:rsidP="00B82782">
      <w:pPr>
        <w:pStyle w:val="Textkrper"/>
        <w:rPr>
          <w:lang w:eastAsia="de-CH"/>
        </w:rPr>
      </w:pPr>
    </w:p>
    <w:p w:rsidR="00A11DBF" w:rsidRPr="001555C8" w:rsidRDefault="00A11DBF" w:rsidP="00B82782">
      <w:pPr>
        <w:pStyle w:val="Textkrper"/>
        <w:rPr>
          <w:lang w:eastAsia="de-CH"/>
        </w:rPr>
      </w:pPr>
      <w:r w:rsidRPr="001555C8">
        <w:rPr>
          <w:lang w:eastAsia="de-CH"/>
        </w:rPr>
        <w:t>Um für die Anschlüsse ein Höchstmass an Flexibilität zu gewährleisten, kann für diese auch eine kürzere Amortisationsfrist vorgesehen werden.</w:t>
      </w:r>
    </w:p>
    <w:p w:rsidR="00E06A45" w:rsidRPr="001555C8" w:rsidRDefault="00E06A45" w:rsidP="00E06A45">
      <w:pPr>
        <w:pStyle w:val="berschrift3"/>
        <w:rPr>
          <w:lang w:eastAsia="de-CH"/>
        </w:rPr>
      </w:pPr>
      <w:bookmarkStart w:id="96" w:name="_Ref308554986"/>
      <w:bookmarkStart w:id="97" w:name="_Toc311108148"/>
      <w:bookmarkStart w:id="98" w:name="_Toc358786219"/>
      <w:r w:rsidRPr="001555C8">
        <w:rPr>
          <w:lang w:eastAsia="de-CH"/>
        </w:rPr>
        <w:t xml:space="preserve">Auswirkungen auf die Bilanzierung </w:t>
      </w:r>
      <w:bookmarkEnd w:id="96"/>
      <w:bookmarkEnd w:id="97"/>
      <w:r w:rsidR="009A5474" w:rsidRPr="001555C8">
        <w:rPr>
          <w:lang w:eastAsia="de-CH"/>
        </w:rPr>
        <w:t>der angeschlosse</w:t>
      </w:r>
      <w:r w:rsidR="00912673" w:rsidRPr="001555C8">
        <w:rPr>
          <w:lang w:eastAsia="de-CH"/>
        </w:rPr>
        <w:t xml:space="preserve">nen </w:t>
      </w:r>
      <w:proofErr w:type="spellStart"/>
      <w:r w:rsidR="00912673" w:rsidRPr="001555C8">
        <w:rPr>
          <w:lang w:eastAsia="de-CH"/>
        </w:rPr>
        <w:t>Arbeitgebenden</w:t>
      </w:r>
      <w:bookmarkEnd w:id="98"/>
      <w:proofErr w:type="spellEnd"/>
    </w:p>
    <w:p w:rsidR="00E06A45" w:rsidRPr="001555C8" w:rsidRDefault="00E06A45" w:rsidP="00E06A45">
      <w:pPr>
        <w:pStyle w:val="Textkrper"/>
        <w:rPr>
          <w:lang w:eastAsia="de-CH"/>
        </w:rPr>
      </w:pPr>
      <w:r w:rsidRPr="001555C8">
        <w:rPr>
          <w:lang w:eastAsia="de-CH"/>
        </w:rPr>
        <w:t xml:space="preserve">Die Begründung einer Forderung </w:t>
      </w:r>
      <w:r w:rsidR="00BD7A5B" w:rsidRPr="001555C8">
        <w:rPr>
          <w:lang w:eastAsia="de-CH"/>
        </w:rPr>
        <w:t>gegenüber der</w:t>
      </w:r>
      <w:r w:rsidRPr="001555C8">
        <w:rPr>
          <w:lang w:eastAsia="de-CH"/>
        </w:rPr>
        <w:t xml:space="preserve"> </w:t>
      </w:r>
      <w:r w:rsidR="00CF07E0" w:rsidRPr="001555C8">
        <w:rPr>
          <w:lang w:eastAsia="de-CH"/>
        </w:rPr>
        <w:t>Stadt</w:t>
      </w:r>
      <w:r w:rsidRPr="001555C8">
        <w:rPr>
          <w:lang w:eastAsia="de-CH"/>
        </w:rPr>
        <w:t xml:space="preserve"> wirft die Frage der Verbuchung der Schuldanerkennung auf. Die für die öffentlichen Gemeinwesen relevante Rechnungslegung, welche auf der Fachempfehlung HRM2 der Schweiz. Finanzdirektorenkonferenz basiert, weist grössere Spielräume auf als beispielsweise die privatrechtliche Rechnungslegung, welche auf dem Obligationenrecht basiert.</w:t>
      </w:r>
    </w:p>
    <w:p w:rsidR="009A5474" w:rsidRPr="001555C8" w:rsidRDefault="009A5474" w:rsidP="00E06A45">
      <w:pPr>
        <w:pStyle w:val="Textkrper"/>
        <w:rPr>
          <w:lang w:eastAsia="de-CH"/>
        </w:rPr>
      </w:pPr>
    </w:p>
    <w:p w:rsidR="00BD7A5B" w:rsidRPr="001555C8" w:rsidRDefault="00B82782" w:rsidP="00B82782">
      <w:pPr>
        <w:pStyle w:val="Textkrper"/>
        <w:rPr>
          <w:lang w:eastAsia="de-CH"/>
        </w:rPr>
      </w:pPr>
      <w:r w:rsidRPr="001555C8">
        <w:rPr>
          <w:lang w:eastAsia="de-CH"/>
        </w:rPr>
        <w:t xml:space="preserve">Da die Forderung der </w:t>
      </w:r>
      <w:r w:rsidR="0066344A" w:rsidRPr="001555C8">
        <w:rPr>
          <w:lang w:eastAsia="de-CH"/>
        </w:rPr>
        <w:t>PK Olten</w:t>
      </w:r>
      <w:r w:rsidRPr="001555C8">
        <w:rPr>
          <w:lang w:eastAsia="de-CH"/>
        </w:rPr>
        <w:t xml:space="preserve"> gegenüber den angeschlossenen </w:t>
      </w:r>
      <w:proofErr w:type="spellStart"/>
      <w:r w:rsidRPr="001555C8">
        <w:rPr>
          <w:lang w:eastAsia="de-CH"/>
        </w:rPr>
        <w:t>Arbeitgebenden</w:t>
      </w:r>
      <w:proofErr w:type="spellEnd"/>
      <w:r w:rsidRPr="001555C8">
        <w:rPr>
          <w:lang w:eastAsia="de-CH"/>
        </w:rPr>
        <w:t xml:space="preserve"> vorsorgerechtlich eine Anlage beim Arbeitgeber darstellt, ist eine Sicherung der Forderung notwendig. Bei den Einwohner-, Bürger-, und Kirchgemeinden muss unterschieden werden: Einwohnergemeinden sind garantiefähig. Da sie nach den Bestimmungen des BVG eine Garantie für die gesamten Leistungen einer Gemeindepensionskasse abgeben können, ist es auch zulässig, dass sie für die Forderung gegenüber der Gemeinde garantieren. Bürger- und Kirchgemeinden sind dagegen nicht garantiefähig. Sofern keine Bankgarantie beschafft werden kann, muss die Garantie daher </w:t>
      </w:r>
      <w:r w:rsidR="00963297" w:rsidRPr="001555C8">
        <w:rPr>
          <w:lang w:eastAsia="de-CH"/>
        </w:rPr>
        <w:t xml:space="preserve">stellvertretend </w:t>
      </w:r>
      <w:r w:rsidRPr="001555C8">
        <w:rPr>
          <w:lang w:eastAsia="de-CH"/>
        </w:rPr>
        <w:t xml:space="preserve">durch die Einwohnergemeinde abgegeben werden. </w:t>
      </w:r>
      <w:r w:rsidR="00844E91" w:rsidRPr="001555C8">
        <w:rPr>
          <w:lang w:eastAsia="de-CH"/>
        </w:rPr>
        <w:t>Diese Garantie ist nicht mit der für eine Teilkapitalisierung notwendigen Staatsgarantie zu verwechseln. Die Staatsgarantie wird nur im Falle einer Teilliquidation fällig</w:t>
      </w:r>
      <w:r w:rsidR="00687D2A" w:rsidRPr="001555C8">
        <w:rPr>
          <w:lang w:eastAsia="de-CH"/>
        </w:rPr>
        <w:t>. D</w:t>
      </w:r>
      <w:r w:rsidR="00844E91" w:rsidRPr="001555C8">
        <w:rPr>
          <w:lang w:eastAsia="de-CH"/>
        </w:rPr>
        <w:t>ie hier beschriebene Garantie ist eine Notwendigkeit, damit eine Forderung eingestellt werden kann und hat somit den Charakter einer Bonitätsübernahme gegenüber der Pensionskasse.</w:t>
      </w:r>
      <w:r w:rsidR="001B45DF" w:rsidRPr="001555C8">
        <w:rPr>
          <w:lang w:eastAsia="de-CH"/>
        </w:rPr>
        <w:t xml:space="preserve"> Sie wird bei Austritt oder Zahlungsunfähigkeit fällig, besteht aus einer nominellen Grösse und vermindert sich um die bereits geleisteten Amortisationen, sodass sie nach spätestens </w:t>
      </w:r>
      <w:r w:rsidR="00BC5A9B" w:rsidRPr="001555C8">
        <w:rPr>
          <w:lang w:eastAsia="de-CH"/>
        </w:rPr>
        <w:t>3</w:t>
      </w:r>
      <w:r w:rsidR="001B45DF" w:rsidRPr="001555C8">
        <w:rPr>
          <w:lang w:eastAsia="de-CH"/>
        </w:rPr>
        <w:t>0 Jahren hinfällig wird.</w:t>
      </w:r>
    </w:p>
    <w:p w:rsidR="004306DE" w:rsidRPr="001555C8" w:rsidRDefault="004306DE" w:rsidP="00B82782">
      <w:pPr>
        <w:pStyle w:val="Textkrper"/>
        <w:rPr>
          <w:lang w:eastAsia="de-CH"/>
        </w:rPr>
      </w:pPr>
    </w:p>
    <w:p w:rsidR="00B82782" w:rsidRPr="001555C8" w:rsidRDefault="00963297" w:rsidP="00B82782">
      <w:pPr>
        <w:pStyle w:val="Textkrper"/>
        <w:rPr>
          <w:lang w:eastAsia="de-CH"/>
        </w:rPr>
      </w:pPr>
      <w:r w:rsidRPr="001555C8">
        <w:rPr>
          <w:lang w:eastAsia="de-CH"/>
        </w:rPr>
        <w:t>So w</w:t>
      </w:r>
      <w:r w:rsidR="00B82782" w:rsidRPr="001555C8">
        <w:rPr>
          <w:lang w:eastAsia="de-CH"/>
        </w:rPr>
        <w:t xml:space="preserve">ie die Stadt Olten eine Garantie für </w:t>
      </w:r>
      <w:proofErr w:type="spellStart"/>
      <w:r w:rsidR="00B82782" w:rsidRPr="001555C8">
        <w:rPr>
          <w:lang w:eastAsia="de-CH"/>
        </w:rPr>
        <w:t>Arbeitgebende</w:t>
      </w:r>
      <w:proofErr w:type="spellEnd"/>
      <w:r w:rsidR="00B82782" w:rsidRPr="001555C8">
        <w:rPr>
          <w:lang w:eastAsia="de-CH"/>
        </w:rPr>
        <w:t xml:space="preserve"> abgibt, welche mit </w:t>
      </w:r>
      <w:r w:rsidR="00875CA8" w:rsidRPr="001555C8">
        <w:rPr>
          <w:lang w:eastAsia="de-CH"/>
        </w:rPr>
        <w:t xml:space="preserve">ihr </w:t>
      </w:r>
      <w:r w:rsidR="00B82782" w:rsidRPr="001555C8">
        <w:rPr>
          <w:lang w:eastAsia="de-CH"/>
        </w:rPr>
        <w:t xml:space="preserve">finanziell oder wirtschaftlich eng verbunden sind </w:t>
      </w:r>
      <w:r w:rsidR="00D32508" w:rsidRPr="001555C8">
        <w:rPr>
          <w:lang w:eastAsia="de-CH"/>
        </w:rPr>
        <w:t>bzw.</w:t>
      </w:r>
      <w:r w:rsidR="00B82782" w:rsidRPr="001555C8">
        <w:rPr>
          <w:lang w:eastAsia="de-CH"/>
        </w:rPr>
        <w:t xml:space="preserve"> die eine Aufgabe im öffentlichen Interesse verfolgen, so müssten </w:t>
      </w:r>
      <w:r w:rsidRPr="001555C8">
        <w:rPr>
          <w:lang w:eastAsia="de-CH"/>
        </w:rPr>
        <w:t xml:space="preserve">gleichfalls </w:t>
      </w:r>
      <w:r w:rsidR="00B82782" w:rsidRPr="001555C8">
        <w:rPr>
          <w:lang w:eastAsia="de-CH"/>
        </w:rPr>
        <w:t>die übrigen ang</w:t>
      </w:r>
      <w:r w:rsidR="0020268B" w:rsidRPr="001555C8">
        <w:rPr>
          <w:lang w:eastAsia="de-CH"/>
        </w:rPr>
        <w:t>e</w:t>
      </w:r>
      <w:r w:rsidR="00B82782" w:rsidRPr="001555C8">
        <w:rPr>
          <w:lang w:eastAsia="de-CH"/>
        </w:rPr>
        <w:t xml:space="preserve">schlossenen Gemeinden für die Forderungen gegenüber den mit ihnen verbundenen </w:t>
      </w:r>
      <w:proofErr w:type="spellStart"/>
      <w:r w:rsidR="00B82782" w:rsidRPr="001555C8">
        <w:rPr>
          <w:lang w:eastAsia="de-CH"/>
        </w:rPr>
        <w:t>Arbeitgebenden</w:t>
      </w:r>
      <w:proofErr w:type="spellEnd"/>
      <w:r w:rsidR="00B82782" w:rsidRPr="001555C8">
        <w:rPr>
          <w:lang w:eastAsia="de-CH"/>
        </w:rPr>
        <w:t xml:space="preserve"> garantieren. Dabei wird – anders als bei der herkömmlichen Staatsgarantie zu Gunsten der Pensionskasse – nicht etwa die Ausrichtung der Leistungen im Falle der Insolvenz der Pensionskasse garantiert, sondern der Betrag der </w:t>
      </w:r>
      <w:r w:rsidR="00D32508" w:rsidRPr="001555C8">
        <w:rPr>
          <w:lang w:eastAsia="de-CH"/>
        </w:rPr>
        <w:t xml:space="preserve">entsprechenden </w:t>
      </w:r>
      <w:r w:rsidR="00B82782" w:rsidRPr="001555C8">
        <w:rPr>
          <w:lang w:eastAsia="de-CH"/>
        </w:rPr>
        <w:t>Forderung. Ausserdem reduziert sich die Garantie im Umfang der geleisteten Amortisationszahlungen.</w:t>
      </w:r>
      <w:r w:rsidRPr="001555C8">
        <w:rPr>
          <w:lang w:eastAsia="de-CH"/>
        </w:rPr>
        <w:t xml:space="preserve"> Es ist vorgesehen, dass die Einwohnerg</w:t>
      </w:r>
      <w:r w:rsidRPr="001555C8">
        <w:rPr>
          <w:lang w:eastAsia="de-CH"/>
        </w:rPr>
        <w:t>e</w:t>
      </w:r>
      <w:r w:rsidRPr="001555C8">
        <w:rPr>
          <w:lang w:eastAsia="de-CH"/>
        </w:rPr>
        <w:t>meinde für sämtliche angeschlossenen Körperschaften mit Ausnahme der Einwohnerg</w:t>
      </w:r>
      <w:r w:rsidRPr="001555C8">
        <w:rPr>
          <w:lang w:eastAsia="de-CH"/>
        </w:rPr>
        <w:t>e</w:t>
      </w:r>
      <w:r w:rsidRPr="001555C8">
        <w:rPr>
          <w:lang w:eastAsia="de-CH"/>
        </w:rPr>
        <w:t xml:space="preserve">meinden Trimbach und </w:t>
      </w:r>
      <w:proofErr w:type="spellStart"/>
      <w:r w:rsidRPr="001555C8">
        <w:rPr>
          <w:lang w:eastAsia="de-CH"/>
        </w:rPr>
        <w:t>Niedergösgen</w:t>
      </w:r>
      <w:proofErr w:type="spellEnd"/>
      <w:r w:rsidRPr="001555C8">
        <w:rPr>
          <w:lang w:eastAsia="de-CH"/>
        </w:rPr>
        <w:t xml:space="preserve"> eine entsprechende Garantie übernehmen wird. Für die </w:t>
      </w:r>
      <w:proofErr w:type="spellStart"/>
      <w:r w:rsidRPr="001555C8">
        <w:rPr>
          <w:lang w:eastAsia="de-CH"/>
        </w:rPr>
        <w:t>Forstbetriebsgemeindschaft</w:t>
      </w:r>
      <w:proofErr w:type="spellEnd"/>
      <w:r w:rsidRPr="001555C8">
        <w:rPr>
          <w:lang w:eastAsia="de-CH"/>
        </w:rPr>
        <w:t xml:space="preserve"> </w:t>
      </w:r>
      <w:proofErr w:type="spellStart"/>
      <w:r w:rsidRPr="001555C8">
        <w:rPr>
          <w:lang w:eastAsia="de-CH"/>
        </w:rPr>
        <w:t>Hauenstein</w:t>
      </w:r>
      <w:proofErr w:type="spellEnd"/>
      <w:r w:rsidRPr="001555C8">
        <w:rPr>
          <w:lang w:eastAsia="de-CH"/>
        </w:rPr>
        <w:t xml:space="preserve"> wird die Garantieerklärung </w:t>
      </w:r>
      <w:r w:rsidR="005C6FAA">
        <w:rPr>
          <w:lang w:eastAsia="de-CH"/>
        </w:rPr>
        <w:t xml:space="preserve">voraussichtlich </w:t>
      </w:r>
      <w:r w:rsidRPr="001555C8">
        <w:rPr>
          <w:lang w:eastAsia="de-CH"/>
        </w:rPr>
        <w:t>durch die Einwohnergemeinde Trimbach gestellt. Die Pensionskasse wird ermächtigt ausstehende Forderungen bei den angeschlossenen Körperschaften an die Einwohnergemeinde abzutreten welche anschliessend eine Leistungsverrechnung mit den angeschossenen Körperschaften vornehmen kann sofern mit diesen Körperschaften eine Leistungsvereinb</w:t>
      </w:r>
      <w:r w:rsidRPr="001555C8">
        <w:rPr>
          <w:lang w:eastAsia="de-CH"/>
        </w:rPr>
        <w:t>a</w:t>
      </w:r>
      <w:r w:rsidRPr="001555C8">
        <w:rPr>
          <w:lang w:eastAsia="de-CH"/>
        </w:rPr>
        <w:t>rung besteht.</w:t>
      </w:r>
    </w:p>
    <w:p w:rsidR="00912673" w:rsidRPr="001555C8" w:rsidRDefault="00912673" w:rsidP="00912673">
      <w:pPr>
        <w:pStyle w:val="berschrift3"/>
        <w:rPr>
          <w:lang w:eastAsia="de-CH"/>
        </w:rPr>
      </w:pPr>
      <w:bookmarkStart w:id="99" w:name="_Toc358786220"/>
      <w:r w:rsidRPr="001555C8">
        <w:rPr>
          <w:lang w:eastAsia="de-CH"/>
        </w:rPr>
        <w:t>Übersicht über die Finanzierung</w:t>
      </w:r>
      <w:r w:rsidR="00482062" w:rsidRPr="001555C8">
        <w:rPr>
          <w:lang w:eastAsia="de-CH"/>
        </w:rPr>
        <w:t>: Höhe der Annuität</w:t>
      </w:r>
      <w:bookmarkEnd w:id="99"/>
    </w:p>
    <w:p w:rsidR="00912673" w:rsidRPr="001555C8" w:rsidRDefault="00912673" w:rsidP="00912673">
      <w:pPr>
        <w:pStyle w:val="Textkrper"/>
        <w:rPr>
          <w:lang w:eastAsia="de-CH"/>
        </w:rPr>
      </w:pPr>
      <w:r w:rsidRPr="001555C8">
        <w:rPr>
          <w:lang w:eastAsia="de-CH"/>
        </w:rPr>
        <w:t xml:space="preserve">Werden die in Kapitel </w:t>
      </w:r>
      <w:fldSimple w:instr=" REF _Ref345676701 \r \h  \* MERGEFORMAT ">
        <w:r w:rsidR="006674A1">
          <w:rPr>
            <w:lang w:eastAsia="de-CH"/>
          </w:rPr>
          <w:t>9.2</w:t>
        </w:r>
      </w:fldSimple>
      <w:r w:rsidR="00350656" w:rsidRPr="001555C8">
        <w:rPr>
          <w:lang w:eastAsia="de-CH"/>
        </w:rPr>
        <w:t xml:space="preserve"> aufgeführten Kosten in eine Annuität von </w:t>
      </w:r>
      <w:r w:rsidR="00875CA8" w:rsidRPr="001555C8">
        <w:rPr>
          <w:lang w:eastAsia="de-CH"/>
        </w:rPr>
        <w:t>3</w:t>
      </w:r>
      <w:r w:rsidR="00350656" w:rsidRPr="001555C8">
        <w:rPr>
          <w:lang w:eastAsia="de-CH"/>
        </w:rPr>
        <w:t>0</w:t>
      </w:r>
      <w:r w:rsidR="00875CA8" w:rsidRPr="001555C8">
        <w:rPr>
          <w:lang w:eastAsia="de-CH"/>
        </w:rPr>
        <w:t> </w:t>
      </w:r>
      <w:r w:rsidR="00350656" w:rsidRPr="001555C8">
        <w:rPr>
          <w:lang w:eastAsia="de-CH"/>
        </w:rPr>
        <w:t>Jahren mit einem Zins von 3.</w:t>
      </w:r>
      <w:r w:rsidR="00C30FE3" w:rsidRPr="001555C8">
        <w:rPr>
          <w:lang w:eastAsia="de-CH"/>
        </w:rPr>
        <w:t>5</w:t>
      </w:r>
      <w:r w:rsidR="00350656" w:rsidRPr="001555C8">
        <w:rPr>
          <w:lang w:eastAsia="de-CH"/>
        </w:rPr>
        <w:t>% umge</w:t>
      </w:r>
      <w:r w:rsidR="00BD7A5B" w:rsidRPr="001555C8">
        <w:rPr>
          <w:lang w:eastAsia="de-CH"/>
        </w:rPr>
        <w:t>rechnet, ergeben sich folgende Beträge</w:t>
      </w:r>
      <w:r w:rsidR="00350656" w:rsidRPr="001555C8">
        <w:rPr>
          <w:lang w:eastAsia="de-CH"/>
        </w:rPr>
        <w:t>:</w:t>
      </w:r>
    </w:p>
    <w:p w:rsidR="00912673" w:rsidRPr="001555C8" w:rsidRDefault="00912673" w:rsidP="00912673">
      <w:pPr>
        <w:pStyle w:val="StyleCaptionArial10pt"/>
        <w:spacing w:before="240" w:after="120" w:line="240" w:lineRule="auto"/>
        <w:ind w:left="1134" w:hanging="1134"/>
        <w:jc w:val="both"/>
      </w:pPr>
      <w:r w:rsidRPr="001555C8">
        <w:t xml:space="preserve">Tabelle </w:t>
      </w:r>
      <w:r w:rsidR="00896579">
        <w:fldChar w:fldCharType="begin"/>
      </w:r>
      <w:r w:rsidR="00C83F16">
        <w:instrText xml:space="preserve"> SEQ Table \* ARABIC </w:instrText>
      </w:r>
      <w:r w:rsidR="00896579">
        <w:fldChar w:fldCharType="separate"/>
      </w:r>
      <w:r w:rsidR="006674A1">
        <w:rPr>
          <w:noProof/>
        </w:rPr>
        <w:t>4</w:t>
      </w:r>
      <w:r w:rsidR="00896579">
        <w:rPr>
          <w:noProof/>
        </w:rPr>
        <w:fldChar w:fldCharType="end"/>
      </w:r>
      <w:r w:rsidRPr="001555C8">
        <w:t>:</w:t>
      </w:r>
      <w:r w:rsidRPr="001555C8">
        <w:tab/>
        <w:t xml:space="preserve">Übersicht über die </w:t>
      </w:r>
      <w:r w:rsidR="00350656" w:rsidRPr="001555C8">
        <w:t>Annuitäten</w:t>
      </w:r>
      <w:r w:rsidRPr="001555C8">
        <w:t>; Werte in Mio</w:t>
      </w:r>
      <w:r w:rsidR="0090791F">
        <w:t>.</w:t>
      </w:r>
      <w:r w:rsidRPr="001555C8">
        <w:t xml:space="preserve"> CHF; Stand </w:t>
      </w:r>
      <w:r w:rsidR="00D9622D" w:rsidRPr="001555C8">
        <w:t>3</w:t>
      </w:r>
      <w:r w:rsidRPr="001555C8">
        <w:t>1.1</w:t>
      </w:r>
      <w:r w:rsidR="00D9622D" w:rsidRPr="001555C8">
        <w:t>2</w:t>
      </w:r>
      <w:r w:rsidRPr="001555C8">
        <w:t>.2012</w:t>
      </w:r>
    </w:p>
    <w:tbl>
      <w:tblPr>
        <w:tblW w:w="6204" w:type="dxa"/>
        <w:tblBorders>
          <w:top w:val="single" w:sz="4" w:space="0" w:color="auto"/>
          <w:left w:val="single" w:sz="4" w:space="0" w:color="auto"/>
          <w:bottom w:val="single" w:sz="4" w:space="0" w:color="auto"/>
          <w:right w:val="single" w:sz="4" w:space="0" w:color="auto"/>
        </w:tblBorders>
        <w:tblLook w:val="04A0"/>
      </w:tblPr>
      <w:tblGrid>
        <w:gridCol w:w="4503"/>
        <w:gridCol w:w="1701"/>
      </w:tblGrid>
      <w:tr w:rsidR="00912673" w:rsidRPr="001555C8" w:rsidTr="000362C9">
        <w:tc>
          <w:tcPr>
            <w:tcW w:w="4503" w:type="dxa"/>
            <w:tcBorders>
              <w:top w:val="single" w:sz="4" w:space="0" w:color="auto"/>
              <w:bottom w:val="single" w:sz="4" w:space="0" w:color="auto"/>
              <w:right w:val="single" w:sz="4" w:space="0" w:color="auto"/>
            </w:tcBorders>
            <w:shd w:val="clear" w:color="auto" w:fill="auto"/>
          </w:tcPr>
          <w:p w:rsidR="00912673" w:rsidRPr="001555C8" w:rsidRDefault="00912673" w:rsidP="000362C9">
            <w:pPr>
              <w:pStyle w:val="Textkrper"/>
              <w:spacing w:before="60" w:after="60"/>
              <w:rPr>
                <w:b/>
                <w:sz w:val="20"/>
                <w:lang w:eastAsia="de-CH"/>
              </w:rPr>
            </w:pPr>
            <w:r w:rsidRPr="001555C8">
              <w:rPr>
                <w:b/>
                <w:sz w:val="20"/>
                <w:lang w:eastAsia="de-CH"/>
              </w:rPr>
              <w:t>Massnahme</w:t>
            </w:r>
          </w:p>
        </w:tc>
        <w:tc>
          <w:tcPr>
            <w:tcW w:w="1701" w:type="dxa"/>
            <w:tcBorders>
              <w:top w:val="single" w:sz="4" w:space="0" w:color="auto"/>
              <w:left w:val="single" w:sz="4" w:space="0" w:color="auto"/>
              <w:bottom w:val="single" w:sz="4" w:space="0" w:color="auto"/>
            </w:tcBorders>
            <w:shd w:val="clear" w:color="auto" w:fill="auto"/>
          </w:tcPr>
          <w:p w:rsidR="00912673" w:rsidRPr="001555C8" w:rsidRDefault="00912673" w:rsidP="000362C9">
            <w:pPr>
              <w:pStyle w:val="Textkrper"/>
              <w:spacing w:before="60" w:after="60"/>
              <w:jc w:val="center"/>
              <w:rPr>
                <w:b/>
                <w:sz w:val="20"/>
                <w:lang w:eastAsia="de-CH"/>
              </w:rPr>
            </w:pPr>
            <w:r w:rsidRPr="001555C8">
              <w:rPr>
                <w:b/>
                <w:sz w:val="20"/>
                <w:lang w:eastAsia="de-CH"/>
              </w:rPr>
              <w:t>Kosten</w:t>
            </w:r>
          </w:p>
        </w:tc>
      </w:tr>
      <w:tr w:rsidR="00912673" w:rsidRPr="001555C8" w:rsidTr="000362C9">
        <w:tc>
          <w:tcPr>
            <w:tcW w:w="4503" w:type="dxa"/>
            <w:tcBorders>
              <w:top w:val="single" w:sz="4" w:space="0" w:color="auto"/>
              <w:bottom w:val="nil"/>
              <w:right w:val="single" w:sz="4" w:space="0" w:color="auto"/>
            </w:tcBorders>
            <w:shd w:val="clear" w:color="auto" w:fill="auto"/>
          </w:tcPr>
          <w:p w:rsidR="00912673" w:rsidRPr="001555C8" w:rsidRDefault="00912673" w:rsidP="000362C9">
            <w:pPr>
              <w:pStyle w:val="Textkrper"/>
              <w:spacing w:before="60"/>
              <w:rPr>
                <w:sz w:val="20"/>
                <w:lang w:eastAsia="de-CH"/>
              </w:rPr>
            </w:pPr>
            <w:r w:rsidRPr="001555C8">
              <w:rPr>
                <w:sz w:val="20"/>
                <w:lang w:eastAsia="de-CH"/>
              </w:rPr>
              <w:t>Fehlbetrag</w:t>
            </w:r>
          </w:p>
        </w:tc>
        <w:tc>
          <w:tcPr>
            <w:tcW w:w="1701" w:type="dxa"/>
            <w:tcBorders>
              <w:top w:val="single" w:sz="4" w:space="0" w:color="auto"/>
              <w:left w:val="single" w:sz="4" w:space="0" w:color="auto"/>
              <w:bottom w:val="nil"/>
            </w:tcBorders>
            <w:shd w:val="clear" w:color="auto" w:fill="auto"/>
          </w:tcPr>
          <w:p w:rsidR="00912673" w:rsidRPr="001555C8" w:rsidRDefault="00350656" w:rsidP="00C30FE3">
            <w:pPr>
              <w:pStyle w:val="Textkrper"/>
              <w:spacing w:before="60"/>
              <w:ind w:left="34" w:right="459" w:hanging="34"/>
              <w:jc w:val="right"/>
              <w:rPr>
                <w:sz w:val="20"/>
                <w:lang w:eastAsia="de-CH"/>
              </w:rPr>
            </w:pPr>
            <w:r w:rsidRPr="001555C8">
              <w:rPr>
                <w:sz w:val="20"/>
                <w:lang w:eastAsia="de-CH"/>
              </w:rPr>
              <w:t>2.</w:t>
            </w:r>
            <w:r w:rsidR="00C30FE3" w:rsidRPr="001555C8">
              <w:rPr>
                <w:sz w:val="20"/>
                <w:lang w:eastAsia="de-CH"/>
              </w:rPr>
              <w:t>3</w:t>
            </w:r>
            <w:r w:rsidR="00912673" w:rsidRPr="001555C8">
              <w:rPr>
                <w:sz w:val="20"/>
                <w:lang w:eastAsia="de-CH"/>
              </w:rPr>
              <w:t xml:space="preserve"> Mio</w:t>
            </w:r>
            <w:r w:rsidR="0090791F">
              <w:rPr>
                <w:sz w:val="20"/>
                <w:lang w:eastAsia="de-CH"/>
              </w:rPr>
              <w:t>.</w:t>
            </w:r>
          </w:p>
        </w:tc>
      </w:tr>
      <w:tr w:rsidR="00912673" w:rsidRPr="001555C8" w:rsidTr="000362C9">
        <w:tc>
          <w:tcPr>
            <w:tcW w:w="4503" w:type="dxa"/>
            <w:tcBorders>
              <w:top w:val="nil"/>
              <w:bottom w:val="nil"/>
              <w:right w:val="single" w:sz="4" w:space="0" w:color="auto"/>
            </w:tcBorders>
            <w:shd w:val="clear" w:color="auto" w:fill="auto"/>
          </w:tcPr>
          <w:p w:rsidR="00912673" w:rsidRPr="001555C8" w:rsidRDefault="00912673" w:rsidP="0066344A">
            <w:pPr>
              <w:pStyle w:val="Textkrper"/>
              <w:rPr>
                <w:sz w:val="20"/>
                <w:lang w:eastAsia="de-CH"/>
              </w:rPr>
            </w:pPr>
            <w:r w:rsidRPr="001555C8">
              <w:rPr>
                <w:sz w:val="20"/>
                <w:lang w:eastAsia="de-CH"/>
              </w:rPr>
              <w:t>Besitzstand aktive Versicherte</w:t>
            </w:r>
          </w:p>
        </w:tc>
        <w:tc>
          <w:tcPr>
            <w:tcW w:w="1701" w:type="dxa"/>
            <w:tcBorders>
              <w:top w:val="nil"/>
              <w:left w:val="single" w:sz="4" w:space="0" w:color="auto"/>
              <w:bottom w:val="nil"/>
            </w:tcBorders>
            <w:shd w:val="clear" w:color="auto" w:fill="auto"/>
          </w:tcPr>
          <w:p w:rsidR="00912673" w:rsidRPr="001555C8" w:rsidRDefault="00350656" w:rsidP="00767D11">
            <w:pPr>
              <w:pStyle w:val="Textkrper"/>
              <w:ind w:right="459"/>
              <w:jc w:val="right"/>
              <w:rPr>
                <w:sz w:val="20"/>
                <w:lang w:eastAsia="de-CH"/>
              </w:rPr>
            </w:pPr>
            <w:r w:rsidRPr="001555C8">
              <w:rPr>
                <w:sz w:val="20"/>
                <w:lang w:eastAsia="de-CH"/>
              </w:rPr>
              <w:t>0.</w:t>
            </w:r>
            <w:r w:rsidR="00767D11" w:rsidRPr="001555C8">
              <w:rPr>
                <w:sz w:val="20"/>
                <w:lang w:eastAsia="de-CH"/>
              </w:rPr>
              <w:t>5</w:t>
            </w:r>
            <w:r w:rsidR="00912673" w:rsidRPr="001555C8">
              <w:rPr>
                <w:sz w:val="20"/>
                <w:lang w:eastAsia="de-CH"/>
              </w:rPr>
              <w:t xml:space="preserve"> Mio</w:t>
            </w:r>
            <w:r w:rsidR="0090791F">
              <w:rPr>
                <w:sz w:val="20"/>
                <w:lang w:eastAsia="de-CH"/>
              </w:rPr>
              <w:t>.</w:t>
            </w:r>
          </w:p>
        </w:tc>
      </w:tr>
      <w:tr w:rsidR="00912673" w:rsidRPr="001555C8" w:rsidTr="00FA1B66">
        <w:tc>
          <w:tcPr>
            <w:tcW w:w="4503" w:type="dxa"/>
            <w:tcBorders>
              <w:top w:val="nil"/>
              <w:bottom w:val="single" w:sz="4" w:space="0" w:color="auto"/>
              <w:right w:val="single" w:sz="4" w:space="0" w:color="auto"/>
            </w:tcBorders>
            <w:shd w:val="clear" w:color="auto" w:fill="auto"/>
          </w:tcPr>
          <w:p w:rsidR="00912673" w:rsidRPr="001555C8" w:rsidRDefault="00912673" w:rsidP="000362C9">
            <w:pPr>
              <w:pStyle w:val="Textkrper"/>
              <w:spacing w:after="60"/>
              <w:rPr>
                <w:b/>
                <w:sz w:val="20"/>
                <w:lang w:eastAsia="de-CH"/>
              </w:rPr>
            </w:pPr>
            <w:r w:rsidRPr="001555C8">
              <w:rPr>
                <w:b/>
                <w:sz w:val="20"/>
                <w:lang w:eastAsia="de-CH"/>
              </w:rPr>
              <w:t xml:space="preserve">Total </w:t>
            </w:r>
            <w:r w:rsidR="00350656" w:rsidRPr="001555C8">
              <w:rPr>
                <w:b/>
                <w:sz w:val="20"/>
                <w:lang w:eastAsia="de-CH"/>
              </w:rPr>
              <w:t>Annuität</w:t>
            </w:r>
          </w:p>
        </w:tc>
        <w:tc>
          <w:tcPr>
            <w:tcW w:w="1701" w:type="dxa"/>
            <w:tcBorders>
              <w:top w:val="nil"/>
              <w:left w:val="single" w:sz="4" w:space="0" w:color="auto"/>
              <w:bottom w:val="single" w:sz="4" w:space="0" w:color="auto"/>
            </w:tcBorders>
            <w:shd w:val="clear" w:color="auto" w:fill="auto"/>
          </w:tcPr>
          <w:p w:rsidR="00912673" w:rsidRPr="001555C8" w:rsidRDefault="00875CA8" w:rsidP="00C30FE3">
            <w:pPr>
              <w:pStyle w:val="Textkrper"/>
              <w:spacing w:after="60"/>
              <w:ind w:right="459"/>
              <w:jc w:val="right"/>
              <w:rPr>
                <w:b/>
                <w:sz w:val="20"/>
                <w:lang w:eastAsia="de-CH"/>
              </w:rPr>
            </w:pPr>
            <w:r w:rsidRPr="001555C8">
              <w:rPr>
                <w:b/>
                <w:sz w:val="20"/>
                <w:lang w:eastAsia="de-CH"/>
              </w:rPr>
              <w:t>2</w:t>
            </w:r>
            <w:r w:rsidR="00350656" w:rsidRPr="001555C8">
              <w:rPr>
                <w:b/>
                <w:sz w:val="20"/>
                <w:lang w:eastAsia="de-CH"/>
              </w:rPr>
              <w:t>.</w:t>
            </w:r>
            <w:r w:rsidR="00C30FE3" w:rsidRPr="001555C8">
              <w:rPr>
                <w:b/>
                <w:sz w:val="20"/>
                <w:lang w:eastAsia="de-CH"/>
              </w:rPr>
              <w:t>8</w:t>
            </w:r>
            <w:r w:rsidR="00912673" w:rsidRPr="001555C8">
              <w:rPr>
                <w:b/>
                <w:sz w:val="20"/>
                <w:lang w:eastAsia="de-CH"/>
              </w:rPr>
              <w:t xml:space="preserve"> Mio</w:t>
            </w:r>
            <w:r w:rsidR="0090791F">
              <w:rPr>
                <w:b/>
                <w:sz w:val="20"/>
                <w:lang w:eastAsia="de-CH"/>
              </w:rPr>
              <w:t>.</w:t>
            </w:r>
          </w:p>
        </w:tc>
      </w:tr>
      <w:tr w:rsidR="00515391" w:rsidRPr="001555C8" w:rsidTr="008B6264">
        <w:trPr>
          <w:trHeight w:val="249"/>
        </w:trPr>
        <w:tc>
          <w:tcPr>
            <w:tcW w:w="4503" w:type="dxa"/>
            <w:tcBorders>
              <w:top w:val="single" w:sz="4" w:space="0" w:color="auto"/>
              <w:bottom w:val="nil"/>
              <w:right w:val="single" w:sz="4" w:space="0" w:color="auto"/>
            </w:tcBorders>
            <w:shd w:val="clear" w:color="auto" w:fill="auto"/>
            <w:vAlign w:val="bottom"/>
          </w:tcPr>
          <w:p w:rsidR="00515391" w:rsidRPr="001555C8" w:rsidRDefault="00515391" w:rsidP="008B6264">
            <w:pPr>
              <w:pStyle w:val="Textkrper"/>
              <w:spacing w:before="60"/>
              <w:rPr>
                <w:sz w:val="20"/>
                <w:lang w:eastAsia="de-CH"/>
              </w:rPr>
            </w:pPr>
            <w:r w:rsidRPr="001555C8">
              <w:rPr>
                <w:sz w:val="20"/>
                <w:lang w:eastAsia="de-CH"/>
              </w:rPr>
              <w:t>Wegfall Verzinsung</w:t>
            </w:r>
            <w:r w:rsidR="00451A8E" w:rsidRPr="001555C8">
              <w:rPr>
                <w:sz w:val="20"/>
                <w:lang w:eastAsia="de-CH"/>
              </w:rPr>
              <w:t xml:space="preserve"> D</w:t>
            </w:r>
            <w:r w:rsidRPr="001555C8">
              <w:rPr>
                <w:sz w:val="20"/>
                <w:lang w:eastAsia="de-CH"/>
              </w:rPr>
              <w:t>eckungslücke</w:t>
            </w:r>
          </w:p>
        </w:tc>
        <w:tc>
          <w:tcPr>
            <w:tcW w:w="1701" w:type="dxa"/>
            <w:tcBorders>
              <w:top w:val="single" w:sz="4" w:space="0" w:color="auto"/>
              <w:left w:val="single" w:sz="4" w:space="0" w:color="auto"/>
              <w:bottom w:val="nil"/>
            </w:tcBorders>
            <w:shd w:val="clear" w:color="auto" w:fill="auto"/>
            <w:vAlign w:val="bottom"/>
          </w:tcPr>
          <w:p w:rsidR="00515391" w:rsidRPr="001555C8" w:rsidRDefault="00515391" w:rsidP="008B6264">
            <w:pPr>
              <w:pStyle w:val="Textkrper"/>
              <w:spacing w:before="60"/>
              <w:ind w:left="34" w:right="459" w:hanging="34"/>
              <w:jc w:val="right"/>
              <w:rPr>
                <w:sz w:val="20"/>
                <w:lang w:eastAsia="de-CH"/>
              </w:rPr>
            </w:pPr>
            <w:r w:rsidRPr="001555C8">
              <w:rPr>
                <w:sz w:val="20"/>
                <w:lang w:eastAsia="de-CH"/>
              </w:rPr>
              <w:t xml:space="preserve">- </w:t>
            </w:r>
            <w:r w:rsidR="00451A8E" w:rsidRPr="001555C8">
              <w:rPr>
                <w:sz w:val="20"/>
                <w:lang w:eastAsia="de-CH"/>
              </w:rPr>
              <w:t>1</w:t>
            </w:r>
            <w:r w:rsidRPr="001555C8">
              <w:rPr>
                <w:sz w:val="20"/>
                <w:lang w:eastAsia="de-CH"/>
              </w:rPr>
              <w:t>.6 Mio</w:t>
            </w:r>
            <w:r w:rsidR="0090791F">
              <w:rPr>
                <w:sz w:val="20"/>
                <w:lang w:eastAsia="de-CH"/>
              </w:rPr>
              <w:t>.</w:t>
            </w:r>
            <w:r w:rsidR="00E34EB1" w:rsidRPr="001555C8">
              <w:rPr>
                <w:rStyle w:val="Funotenzeichen"/>
                <w:sz w:val="20"/>
                <w:lang w:eastAsia="de-CH"/>
              </w:rPr>
              <w:footnoteReference w:id="7"/>
            </w:r>
          </w:p>
        </w:tc>
      </w:tr>
      <w:tr w:rsidR="00875CA8" w:rsidRPr="001555C8" w:rsidTr="008B6264">
        <w:trPr>
          <w:trHeight w:val="204"/>
        </w:trPr>
        <w:tc>
          <w:tcPr>
            <w:tcW w:w="4503" w:type="dxa"/>
            <w:tcBorders>
              <w:top w:val="nil"/>
              <w:bottom w:val="single" w:sz="4" w:space="0" w:color="auto"/>
              <w:right w:val="single" w:sz="4" w:space="0" w:color="auto"/>
            </w:tcBorders>
            <w:shd w:val="clear" w:color="auto" w:fill="auto"/>
          </w:tcPr>
          <w:p w:rsidR="00875CA8" w:rsidRPr="001555C8" w:rsidRDefault="00875CA8" w:rsidP="008B6264">
            <w:pPr>
              <w:pStyle w:val="Textkrper"/>
              <w:spacing w:before="60"/>
              <w:rPr>
                <w:sz w:val="20"/>
                <w:lang w:eastAsia="de-CH"/>
              </w:rPr>
            </w:pPr>
            <w:r w:rsidRPr="001555C8">
              <w:rPr>
                <w:sz w:val="20"/>
                <w:lang w:eastAsia="de-CH"/>
              </w:rPr>
              <w:t>Reduktion Beiträge Arbeitgeber</w:t>
            </w:r>
          </w:p>
        </w:tc>
        <w:tc>
          <w:tcPr>
            <w:tcW w:w="1701" w:type="dxa"/>
            <w:tcBorders>
              <w:top w:val="nil"/>
              <w:left w:val="single" w:sz="4" w:space="0" w:color="auto"/>
              <w:bottom w:val="single" w:sz="4" w:space="0" w:color="auto"/>
            </w:tcBorders>
            <w:shd w:val="clear" w:color="auto" w:fill="auto"/>
          </w:tcPr>
          <w:p w:rsidR="00875CA8" w:rsidRPr="001555C8" w:rsidRDefault="00875CA8" w:rsidP="008B6264">
            <w:pPr>
              <w:pStyle w:val="Textkrper"/>
              <w:spacing w:before="60"/>
              <w:ind w:left="34" w:right="459" w:hanging="34"/>
              <w:jc w:val="right"/>
              <w:rPr>
                <w:sz w:val="20"/>
                <w:lang w:eastAsia="de-CH"/>
              </w:rPr>
            </w:pPr>
            <w:r w:rsidRPr="001555C8">
              <w:rPr>
                <w:sz w:val="20"/>
                <w:lang w:eastAsia="de-CH"/>
              </w:rPr>
              <w:t>- 0.4 Mio</w:t>
            </w:r>
            <w:r w:rsidR="0090791F">
              <w:rPr>
                <w:sz w:val="20"/>
                <w:lang w:eastAsia="de-CH"/>
              </w:rPr>
              <w:t>.</w:t>
            </w:r>
          </w:p>
        </w:tc>
      </w:tr>
      <w:tr w:rsidR="00515391" w:rsidRPr="001555C8" w:rsidTr="000362C9">
        <w:tc>
          <w:tcPr>
            <w:tcW w:w="4503" w:type="dxa"/>
            <w:tcBorders>
              <w:top w:val="single" w:sz="4" w:space="0" w:color="auto"/>
              <w:right w:val="single" w:sz="4" w:space="0" w:color="auto"/>
            </w:tcBorders>
            <w:shd w:val="clear" w:color="auto" w:fill="auto"/>
          </w:tcPr>
          <w:p w:rsidR="00515391" w:rsidRPr="001555C8" w:rsidRDefault="00515391" w:rsidP="000362C9">
            <w:pPr>
              <w:pStyle w:val="Textkrper"/>
              <w:spacing w:after="60"/>
              <w:rPr>
                <w:b/>
                <w:sz w:val="20"/>
                <w:lang w:eastAsia="de-CH"/>
              </w:rPr>
            </w:pPr>
            <w:r w:rsidRPr="001555C8">
              <w:rPr>
                <w:b/>
                <w:sz w:val="20"/>
                <w:lang w:eastAsia="de-CH"/>
              </w:rPr>
              <w:t>Mehrkosten Arbeitgeber</w:t>
            </w:r>
          </w:p>
        </w:tc>
        <w:tc>
          <w:tcPr>
            <w:tcW w:w="1701" w:type="dxa"/>
            <w:tcBorders>
              <w:top w:val="single" w:sz="4" w:space="0" w:color="auto"/>
              <w:left w:val="single" w:sz="4" w:space="0" w:color="auto"/>
              <w:bottom w:val="single" w:sz="4" w:space="0" w:color="auto"/>
            </w:tcBorders>
            <w:shd w:val="clear" w:color="auto" w:fill="auto"/>
          </w:tcPr>
          <w:p w:rsidR="00515391" w:rsidRPr="001555C8" w:rsidRDefault="00875CA8" w:rsidP="00C30FE3">
            <w:pPr>
              <w:pStyle w:val="Textkrper"/>
              <w:spacing w:after="60"/>
              <w:ind w:right="459"/>
              <w:jc w:val="right"/>
              <w:rPr>
                <w:b/>
                <w:sz w:val="20"/>
                <w:lang w:eastAsia="de-CH"/>
              </w:rPr>
            </w:pPr>
            <w:r w:rsidRPr="001555C8">
              <w:rPr>
                <w:b/>
                <w:sz w:val="20"/>
                <w:lang w:eastAsia="de-CH"/>
              </w:rPr>
              <w:t>0</w:t>
            </w:r>
            <w:r w:rsidR="00515391" w:rsidRPr="001555C8">
              <w:rPr>
                <w:b/>
                <w:sz w:val="20"/>
                <w:lang w:eastAsia="de-CH"/>
              </w:rPr>
              <w:t>.</w:t>
            </w:r>
            <w:r w:rsidR="00C30FE3" w:rsidRPr="001555C8">
              <w:rPr>
                <w:b/>
                <w:sz w:val="20"/>
                <w:lang w:eastAsia="de-CH"/>
              </w:rPr>
              <w:t>8</w:t>
            </w:r>
            <w:r w:rsidR="00515391" w:rsidRPr="001555C8">
              <w:rPr>
                <w:b/>
                <w:sz w:val="20"/>
                <w:lang w:eastAsia="de-CH"/>
              </w:rPr>
              <w:t xml:space="preserve"> Mio</w:t>
            </w:r>
            <w:r w:rsidR="0090791F">
              <w:rPr>
                <w:b/>
                <w:sz w:val="20"/>
                <w:lang w:eastAsia="de-CH"/>
              </w:rPr>
              <w:t>.</w:t>
            </w:r>
          </w:p>
        </w:tc>
      </w:tr>
    </w:tbl>
    <w:p w:rsidR="00912673" w:rsidRPr="001555C8" w:rsidRDefault="00912673" w:rsidP="00912673">
      <w:pPr>
        <w:pStyle w:val="Textkrper"/>
        <w:rPr>
          <w:lang w:eastAsia="de-CH"/>
        </w:rPr>
      </w:pPr>
    </w:p>
    <w:p w:rsidR="00451A8E" w:rsidRPr="001555C8" w:rsidRDefault="00C30FE3" w:rsidP="00912673">
      <w:pPr>
        <w:pStyle w:val="Textkrper"/>
        <w:rPr>
          <w:lang w:eastAsia="de-CH"/>
        </w:rPr>
      </w:pPr>
      <w:r w:rsidRPr="001555C8">
        <w:rPr>
          <w:lang w:eastAsia="de-CH"/>
        </w:rPr>
        <w:t xml:space="preserve">Die </w:t>
      </w:r>
      <w:r w:rsidR="00482062" w:rsidRPr="001555C8">
        <w:rPr>
          <w:lang w:eastAsia="de-CH"/>
        </w:rPr>
        <w:t>Finanzierung des Fehlbetrags von CHF 51.9 Mio</w:t>
      </w:r>
      <w:r w:rsidR="0090791F">
        <w:rPr>
          <w:lang w:eastAsia="de-CH"/>
        </w:rPr>
        <w:t>.</w:t>
      </w:r>
      <w:r w:rsidR="00482062" w:rsidRPr="001555C8">
        <w:rPr>
          <w:lang w:eastAsia="de-CH"/>
        </w:rPr>
        <w:t xml:space="preserve"> ergibt eine Annuität von CHF 2.8 Mio</w:t>
      </w:r>
      <w:r w:rsidR="0090791F">
        <w:rPr>
          <w:lang w:eastAsia="de-CH"/>
        </w:rPr>
        <w:t>.</w:t>
      </w:r>
      <w:r w:rsidR="00482062" w:rsidRPr="001555C8">
        <w:rPr>
          <w:lang w:eastAsia="de-CH"/>
        </w:rPr>
        <w:t xml:space="preserve"> pro Jahr, welche durch die angeschlossenen Arbeitgeber zu tragen ist.</w:t>
      </w:r>
      <w:r w:rsidR="00451A8E" w:rsidRPr="001555C8">
        <w:rPr>
          <w:lang w:eastAsia="de-CH"/>
        </w:rPr>
        <w:t xml:space="preserve"> Allerdings hat der Arbeitgeber heute die Verzinsung der Deckungslücke zu leisten, was rund CHF 1.6 Mio</w:t>
      </w:r>
      <w:r w:rsidR="0090791F">
        <w:rPr>
          <w:lang w:eastAsia="de-CH"/>
        </w:rPr>
        <w:t>.</w:t>
      </w:r>
      <w:r w:rsidR="00451A8E" w:rsidRPr="001555C8">
        <w:rPr>
          <w:lang w:eastAsia="de-CH"/>
        </w:rPr>
        <w:t xml:space="preserve"> ausmacht.</w:t>
      </w:r>
      <w:r w:rsidR="008B6264" w:rsidRPr="001555C8">
        <w:rPr>
          <w:lang w:eastAsia="de-CH"/>
        </w:rPr>
        <w:t xml:space="preserve"> Zudem ergeben sich </w:t>
      </w:r>
      <w:r w:rsidR="004306DE" w:rsidRPr="001555C8">
        <w:rPr>
          <w:lang w:eastAsia="de-CH"/>
        </w:rPr>
        <w:t xml:space="preserve">für ihn </w:t>
      </w:r>
      <w:r w:rsidR="008B6264" w:rsidRPr="001555C8">
        <w:rPr>
          <w:lang w:eastAsia="de-CH"/>
        </w:rPr>
        <w:t>Einsparungen auf der Beitragsseite in Höhe von rund CHF 0.4 Mio.</w:t>
      </w:r>
      <w:r w:rsidR="00451A8E" w:rsidRPr="001555C8">
        <w:rPr>
          <w:lang w:eastAsia="de-CH"/>
        </w:rPr>
        <w:t xml:space="preserve"> Damit belaufen sich die </w:t>
      </w:r>
      <w:r w:rsidR="00482062" w:rsidRPr="001555C8">
        <w:rPr>
          <w:lang w:eastAsia="de-CH"/>
        </w:rPr>
        <w:t>Mehrkosten</w:t>
      </w:r>
      <w:r w:rsidR="00451A8E" w:rsidRPr="001555C8">
        <w:rPr>
          <w:lang w:eastAsia="de-CH"/>
        </w:rPr>
        <w:t xml:space="preserve"> für den Arbeitgeber auf CHF </w:t>
      </w:r>
      <w:r w:rsidR="008B6264" w:rsidRPr="001555C8">
        <w:rPr>
          <w:lang w:eastAsia="de-CH"/>
        </w:rPr>
        <w:t>0</w:t>
      </w:r>
      <w:r w:rsidR="00451A8E" w:rsidRPr="001555C8">
        <w:rPr>
          <w:lang w:eastAsia="de-CH"/>
        </w:rPr>
        <w:t>.</w:t>
      </w:r>
      <w:r w:rsidR="00482062" w:rsidRPr="001555C8">
        <w:rPr>
          <w:lang w:eastAsia="de-CH"/>
        </w:rPr>
        <w:t>8</w:t>
      </w:r>
      <w:r w:rsidR="008B6264" w:rsidRPr="001555C8">
        <w:rPr>
          <w:lang w:eastAsia="de-CH"/>
        </w:rPr>
        <w:t> </w:t>
      </w:r>
      <w:r w:rsidR="00451A8E" w:rsidRPr="001555C8">
        <w:rPr>
          <w:lang w:eastAsia="de-CH"/>
        </w:rPr>
        <w:t>Mio.</w:t>
      </w:r>
    </w:p>
    <w:p w:rsidR="00963297" w:rsidRPr="001555C8" w:rsidRDefault="00963297" w:rsidP="00963297">
      <w:pPr>
        <w:pStyle w:val="Textkrper"/>
        <w:rPr>
          <w:lang w:eastAsia="de-CH"/>
        </w:rPr>
      </w:pPr>
      <w:r w:rsidRPr="001555C8">
        <w:rPr>
          <w:lang w:eastAsia="de-CH"/>
        </w:rPr>
        <w:t>Eine Aufteilung auf die angeschlossenen Körperschaften wird im Verhältnis der heutigen Verzinsung der Deckunglücke vorgenommen.</w:t>
      </w:r>
    </w:p>
    <w:p w:rsidR="00963297" w:rsidRPr="001555C8" w:rsidRDefault="00963297" w:rsidP="00963297">
      <w:pPr>
        <w:pStyle w:val="Textkrper"/>
        <w:rPr>
          <w:lang w:eastAsia="de-CH"/>
        </w:rPr>
      </w:pPr>
    </w:p>
    <w:p w:rsidR="00963297" w:rsidRPr="001555C8" w:rsidRDefault="00963297" w:rsidP="00963297">
      <w:pPr>
        <w:pStyle w:val="Textkrper"/>
        <w:rPr>
          <w:lang w:eastAsia="de-CH"/>
        </w:rPr>
      </w:pPr>
      <w:r w:rsidRPr="001555C8">
        <w:rPr>
          <w:lang w:eastAsia="de-CH"/>
        </w:rPr>
        <w:t>Die Körperschaften sind in folgendem Ausmass betroffen (Zahlen gerundet):</w:t>
      </w:r>
    </w:p>
    <w:p w:rsidR="00963297" w:rsidRPr="001555C8" w:rsidRDefault="00963297" w:rsidP="00963297">
      <w:pPr>
        <w:pStyle w:val="Textkrper"/>
        <w:rPr>
          <w:lang w:eastAsia="de-CH"/>
        </w:rPr>
      </w:pPr>
    </w:p>
    <w:tbl>
      <w:tblPr>
        <w:tblStyle w:val="TabelleAktuell"/>
        <w:tblW w:w="8046" w:type="dxa"/>
        <w:tblLook w:val="04A0"/>
      </w:tblPr>
      <w:tblGrid>
        <w:gridCol w:w="5495"/>
        <w:gridCol w:w="2551"/>
      </w:tblGrid>
      <w:tr w:rsidR="00963297" w:rsidRPr="001555C8" w:rsidTr="00963297">
        <w:trPr>
          <w:cnfStyle w:val="100000000000"/>
        </w:trPr>
        <w:tc>
          <w:tcPr>
            <w:tcW w:w="5495" w:type="dxa"/>
          </w:tcPr>
          <w:p w:rsidR="00963297" w:rsidRPr="001555C8" w:rsidRDefault="00963297" w:rsidP="00963297">
            <w:pPr>
              <w:pStyle w:val="Textkrper"/>
              <w:rPr>
                <w:lang w:eastAsia="de-CH"/>
              </w:rPr>
            </w:pPr>
            <w:r w:rsidRPr="001555C8">
              <w:rPr>
                <w:lang w:eastAsia="de-CH"/>
              </w:rPr>
              <w:t>Angeschlossene Körperschaft</w:t>
            </w:r>
          </w:p>
        </w:tc>
        <w:tc>
          <w:tcPr>
            <w:tcW w:w="2551" w:type="dxa"/>
          </w:tcPr>
          <w:p w:rsidR="00963297" w:rsidRPr="001555C8" w:rsidRDefault="00963297" w:rsidP="00963297">
            <w:pPr>
              <w:pStyle w:val="Textkrper"/>
              <w:jc w:val="right"/>
              <w:rPr>
                <w:lang w:eastAsia="de-CH"/>
              </w:rPr>
            </w:pPr>
            <w:r w:rsidRPr="001555C8">
              <w:rPr>
                <w:lang w:eastAsia="de-CH"/>
              </w:rPr>
              <w:t>Anteil</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Bürgergemeinde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59'000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Bürgergemeinde Wangen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4'000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 xml:space="preserve">Bus Betrieb Olten </w:t>
            </w:r>
            <w:proofErr w:type="spellStart"/>
            <w:r w:rsidRPr="001555C8">
              <w:rPr>
                <w:lang w:eastAsia="de-CH"/>
              </w:rPr>
              <w:t>Gösgen</w:t>
            </w:r>
            <w:proofErr w:type="spellEnd"/>
            <w:r w:rsidRPr="001555C8">
              <w:rPr>
                <w:lang w:eastAsia="de-CH"/>
              </w:rPr>
              <w:t xml:space="preserve"> </w:t>
            </w:r>
            <w:proofErr w:type="spellStart"/>
            <w:r w:rsidRPr="001555C8">
              <w:rPr>
                <w:lang w:eastAsia="de-CH"/>
              </w:rPr>
              <w:t>Gäu</w:t>
            </w:r>
            <w:proofErr w:type="spellEnd"/>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12'000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 xml:space="preserve">Einwohnergemeinde </w:t>
            </w:r>
            <w:proofErr w:type="spellStart"/>
            <w:r w:rsidRPr="001555C8">
              <w:rPr>
                <w:lang w:eastAsia="de-CH"/>
              </w:rPr>
              <w:t>Niedergösgen</w:t>
            </w:r>
            <w:proofErr w:type="spellEnd"/>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26'000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Einwohnergemeinde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459'000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Einwohnergemeinde Trimbach</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46'000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proofErr w:type="spellStart"/>
            <w:r w:rsidRPr="001555C8">
              <w:rPr>
                <w:lang w:eastAsia="de-CH"/>
              </w:rPr>
              <w:t>Evang</w:t>
            </w:r>
            <w:proofErr w:type="spellEnd"/>
            <w:r w:rsidRPr="001555C8">
              <w:rPr>
                <w:lang w:eastAsia="de-CH"/>
              </w:rPr>
              <w:t xml:space="preserve">. – </w:t>
            </w:r>
            <w:proofErr w:type="spellStart"/>
            <w:r w:rsidRPr="001555C8">
              <w:rPr>
                <w:lang w:eastAsia="de-CH"/>
              </w:rPr>
              <w:t>ref</w:t>
            </w:r>
            <w:proofErr w:type="spellEnd"/>
            <w:r w:rsidRPr="001555C8">
              <w:rPr>
                <w:lang w:eastAsia="de-CH"/>
              </w:rPr>
              <w:t>. Kirchgemeinde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22'000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 xml:space="preserve">Forstbetriebsgemeinschaft </w:t>
            </w:r>
            <w:proofErr w:type="spellStart"/>
            <w:r w:rsidRPr="001555C8">
              <w:rPr>
                <w:lang w:eastAsia="de-CH"/>
              </w:rPr>
              <w:t>Hauenstein</w:t>
            </w:r>
            <w:proofErr w:type="spellEnd"/>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3'000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Genossenschaft Altersheim Stadtpark</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64'000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Jugendkulturhaus Färbi</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2'000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Kinderkrippe Schürmatt</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4'000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Schweiz. Samariterbund</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8'000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Stadttheater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3'000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Stiftung Altersheim St. Martin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62'000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Verein Kinderkrippe Sonnhalde</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11'000</w:t>
            </w:r>
          </w:p>
        </w:tc>
      </w:tr>
      <w:tr w:rsidR="005C6FAA" w:rsidRPr="001555C8" w:rsidTr="00913B2F">
        <w:trPr>
          <w:cnfStyle w:val="000000010000"/>
        </w:trPr>
        <w:tc>
          <w:tcPr>
            <w:tcW w:w="5495" w:type="dxa"/>
          </w:tcPr>
          <w:p w:rsidR="005C6FAA" w:rsidRPr="001555C8" w:rsidRDefault="005C6FAA" w:rsidP="00963297">
            <w:pPr>
              <w:pStyle w:val="Textkrper"/>
              <w:rPr>
                <w:lang w:eastAsia="de-CH"/>
              </w:rPr>
            </w:pPr>
            <w:r w:rsidRPr="001555C8">
              <w:rPr>
                <w:lang w:eastAsia="de-CH"/>
              </w:rPr>
              <w:t>Verein offene Kinderarbeit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3'000</w:t>
            </w:r>
          </w:p>
        </w:tc>
      </w:tr>
      <w:tr w:rsidR="005C6FAA" w:rsidRPr="001555C8" w:rsidTr="00913B2F">
        <w:trPr>
          <w:cnfStyle w:val="000000100000"/>
        </w:trPr>
        <w:tc>
          <w:tcPr>
            <w:tcW w:w="5495" w:type="dxa"/>
          </w:tcPr>
          <w:p w:rsidR="005C6FAA" w:rsidRPr="001555C8" w:rsidRDefault="005C6FAA" w:rsidP="00963297">
            <w:pPr>
              <w:pStyle w:val="Textkrper"/>
              <w:rPr>
                <w:lang w:eastAsia="de-CH"/>
              </w:rPr>
            </w:pPr>
            <w:r w:rsidRPr="001555C8">
              <w:rPr>
                <w:lang w:eastAsia="de-CH"/>
              </w:rPr>
              <w:t>Zweckverband Abwasserregion Olten</w:t>
            </w:r>
          </w:p>
        </w:tc>
        <w:tc>
          <w:tcPr>
            <w:tcW w:w="2551" w:type="dxa"/>
            <w:vAlign w:val="bottom"/>
          </w:tcPr>
          <w:p w:rsidR="005C6FAA" w:rsidRPr="005C6FAA" w:rsidRDefault="005C6FAA" w:rsidP="00913B2F">
            <w:pPr>
              <w:jc w:val="right"/>
              <w:rPr>
                <w:rFonts w:cs="Arial"/>
                <w:color w:val="000000"/>
                <w:szCs w:val="22"/>
              </w:rPr>
            </w:pPr>
            <w:r w:rsidRPr="005C6FAA">
              <w:rPr>
                <w:rFonts w:cs="Arial"/>
                <w:color w:val="000000"/>
                <w:szCs w:val="22"/>
              </w:rPr>
              <w:t>12'000</w:t>
            </w:r>
          </w:p>
        </w:tc>
      </w:tr>
      <w:tr w:rsidR="00963297" w:rsidRPr="001555C8" w:rsidTr="00963297">
        <w:trPr>
          <w:cnfStyle w:val="000000010000"/>
        </w:trPr>
        <w:tc>
          <w:tcPr>
            <w:tcW w:w="5495" w:type="dxa"/>
          </w:tcPr>
          <w:p w:rsidR="00963297" w:rsidRPr="001555C8" w:rsidRDefault="00963297" w:rsidP="00963297">
            <w:pPr>
              <w:pStyle w:val="Textkrper"/>
              <w:rPr>
                <w:b/>
                <w:lang w:eastAsia="de-CH"/>
              </w:rPr>
            </w:pPr>
            <w:r w:rsidRPr="001555C8">
              <w:rPr>
                <w:b/>
                <w:lang w:eastAsia="de-CH"/>
              </w:rPr>
              <w:t>Total</w:t>
            </w:r>
          </w:p>
        </w:tc>
        <w:tc>
          <w:tcPr>
            <w:tcW w:w="2551" w:type="dxa"/>
          </w:tcPr>
          <w:p w:rsidR="00963297" w:rsidRPr="001555C8" w:rsidRDefault="005C6FAA" w:rsidP="00963297">
            <w:pPr>
              <w:pStyle w:val="Textkrper"/>
              <w:jc w:val="right"/>
              <w:rPr>
                <w:b/>
                <w:lang w:eastAsia="de-CH"/>
              </w:rPr>
            </w:pPr>
            <w:r>
              <w:rPr>
                <w:b/>
                <w:lang w:eastAsia="de-CH"/>
              </w:rPr>
              <w:t>8</w:t>
            </w:r>
            <w:r w:rsidR="00963297" w:rsidRPr="001555C8">
              <w:rPr>
                <w:b/>
                <w:lang w:eastAsia="de-CH"/>
              </w:rPr>
              <w:t>00‘000</w:t>
            </w:r>
          </w:p>
        </w:tc>
      </w:tr>
    </w:tbl>
    <w:p w:rsidR="00963297" w:rsidRPr="001555C8" w:rsidRDefault="00963297" w:rsidP="00912673">
      <w:pPr>
        <w:pStyle w:val="Textkrper"/>
        <w:rPr>
          <w:lang w:eastAsia="de-CH"/>
        </w:rPr>
      </w:pPr>
    </w:p>
    <w:p w:rsidR="00515391" w:rsidRPr="001555C8" w:rsidRDefault="00451A8E" w:rsidP="00912673">
      <w:pPr>
        <w:pStyle w:val="Textkrper"/>
        <w:rPr>
          <w:lang w:eastAsia="de-CH"/>
        </w:rPr>
      </w:pPr>
      <w:r w:rsidRPr="001555C8">
        <w:rPr>
          <w:lang w:eastAsia="de-CH"/>
        </w:rPr>
        <w:t xml:space="preserve">Wie verschiedentlich erwähnt bestehen von Seiten der Oberaufsichtskommission Vorbehalte, wenn die heutigen </w:t>
      </w:r>
      <w:proofErr w:type="spellStart"/>
      <w:r w:rsidRPr="001555C8">
        <w:rPr>
          <w:lang w:eastAsia="de-CH"/>
        </w:rPr>
        <w:t>Arbeitnehmenden</w:t>
      </w:r>
      <w:proofErr w:type="spellEnd"/>
      <w:r w:rsidRPr="001555C8">
        <w:rPr>
          <w:lang w:eastAsia="de-CH"/>
        </w:rPr>
        <w:t xml:space="preserve"> an der Sanierung einer Deckungslücke beteiligt werden, welche aufgrund des in der Vergangenheit akzeptierten Systems der gemischten Finanzierung entstanden ist. Plananpassungen, welche sich aufgrund des veränderten versicherungstechnischen Umfelds ergeben, sind demgegenüber immer möglich. Aus diesem Grund wird in der obigen Tabelle davon ausgegangen, dass der Arbeitgeber die </w:t>
      </w:r>
      <w:r w:rsidR="00864D6E" w:rsidRPr="001555C8">
        <w:rPr>
          <w:lang w:eastAsia="de-CH"/>
        </w:rPr>
        <w:t>Kosten für die Reform</w:t>
      </w:r>
      <w:r w:rsidRPr="001555C8">
        <w:rPr>
          <w:lang w:eastAsia="de-CH"/>
        </w:rPr>
        <w:t xml:space="preserve"> trägt. Da künftig keine Verzinsung der Deckungslücke mehr notwendig sein wird</w:t>
      </w:r>
      <w:r w:rsidR="00480316" w:rsidRPr="001555C8">
        <w:rPr>
          <w:lang w:eastAsia="de-CH"/>
        </w:rPr>
        <w:t xml:space="preserve"> und sich auf der Beitragsseite Einsparungen ergeben</w:t>
      </w:r>
      <w:r w:rsidRPr="001555C8">
        <w:rPr>
          <w:lang w:eastAsia="de-CH"/>
        </w:rPr>
        <w:t xml:space="preserve">, </w:t>
      </w:r>
      <w:r w:rsidR="00480316" w:rsidRPr="001555C8">
        <w:rPr>
          <w:lang w:eastAsia="de-CH"/>
        </w:rPr>
        <w:t>sind</w:t>
      </w:r>
      <w:r w:rsidRPr="001555C8">
        <w:rPr>
          <w:lang w:eastAsia="de-CH"/>
        </w:rPr>
        <w:t xml:space="preserve"> diese Position</w:t>
      </w:r>
      <w:r w:rsidR="00480316" w:rsidRPr="001555C8">
        <w:rPr>
          <w:lang w:eastAsia="de-CH"/>
        </w:rPr>
        <w:t>en</w:t>
      </w:r>
      <w:r w:rsidRPr="001555C8">
        <w:rPr>
          <w:lang w:eastAsia="de-CH"/>
        </w:rPr>
        <w:t xml:space="preserve"> zur Ermittlung der Nettokosten anzurechnen.</w:t>
      </w:r>
    </w:p>
    <w:p w:rsidR="00086991" w:rsidRPr="001555C8" w:rsidRDefault="00086991" w:rsidP="00086991">
      <w:pPr>
        <w:pStyle w:val="berschrift3"/>
        <w:rPr>
          <w:lang w:eastAsia="de-CH"/>
        </w:rPr>
      </w:pPr>
      <w:bookmarkStart w:id="100" w:name="_Toc358786221"/>
      <w:r w:rsidRPr="001555C8">
        <w:rPr>
          <w:lang w:eastAsia="de-CH"/>
        </w:rPr>
        <w:t>Lastensymmetrie</w:t>
      </w:r>
      <w:r w:rsidR="00BD7A5B" w:rsidRPr="001555C8">
        <w:rPr>
          <w:lang w:eastAsia="de-CH"/>
        </w:rPr>
        <w:t xml:space="preserve"> </w:t>
      </w:r>
      <w:proofErr w:type="spellStart"/>
      <w:r w:rsidR="00895CEF" w:rsidRPr="001555C8">
        <w:t>Arbeitnehmende</w:t>
      </w:r>
      <w:proofErr w:type="spellEnd"/>
      <w:r w:rsidR="00895CEF" w:rsidRPr="001555C8">
        <w:t xml:space="preserve"> </w:t>
      </w:r>
      <w:r w:rsidR="00BD7A5B" w:rsidRPr="001555C8">
        <w:rPr>
          <w:lang w:eastAsia="de-CH"/>
        </w:rPr>
        <w:t>und Arbeitgeber</w:t>
      </w:r>
      <w:bookmarkEnd w:id="100"/>
    </w:p>
    <w:p w:rsidR="00086991" w:rsidRDefault="00086991" w:rsidP="00086991">
      <w:pPr>
        <w:pStyle w:val="Textkrper"/>
        <w:rPr>
          <w:lang w:eastAsia="de-CH"/>
        </w:rPr>
      </w:pPr>
      <w:r w:rsidRPr="001555C8">
        <w:rPr>
          <w:lang w:eastAsia="de-CH"/>
        </w:rPr>
        <w:t>Die versicherungstechnische</w:t>
      </w:r>
      <w:r w:rsidR="00AD5D08" w:rsidRPr="001555C8">
        <w:rPr>
          <w:lang w:eastAsia="de-CH"/>
        </w:rPr>
        <w:t xml:space="preserve"> Berechnung per Stichtag für das heute bestehende Leistungsprimat zeigt, dass die Erhöhung des Rücktrittsalters von 63 auf 65 Jahre eine finanzielle Entlastung in Höhe von CHF 0.8 Mio</w:t>
      </w:r>
      <w:r w:rsidR="0090791F">
        <w:rPr>
          <w:lang w:eastAsia="de-CH"/>
        </w:rPr>
        <w:t>.</w:t>
      </w:r>
      <w:r w:rsidR="00AD5D08" w:rsidRPr="001555C8">
        <w:rPr>
          <w:lang w:eastAsia="de-CH"/>
        </w:rPr>
        <w:t xml:space="preserve"> bringt. Dies ist somit der Wert der Erhöhung des Rücktrittsalters auf 65 Jahre und der gleichzeitigen Erhöhung de</w:t>
      </w:r>
      <w:r w:rsidR="00944D9C">
        <w:rPr>
          <w:lang w:eastAsia="de-CH"/>
        </w:rPr>
        <w:t>r</w:t>
      </w:r>
      <w:r w:rsidR="00AD5D08" w:rsidRPr="001555C8">
        <w:rPr>
          <w:lang w:eastAsia="de-CH"/>
        </w:rPr>
        <w:t xml:space="preserve"> zum Erreichen eines maximalen Rentensatzes von 60% notwendigen Versicherungsjahre auf 40. Die Arbeitnehmer und die </w:t>
      </w:r>
      <w:proofErr w:type="spellStart"/>
      <w:r w:rsidR="00AD5D08" w:rsidRPr="001555C8">
        <w:rPr>
          <w:lang w:eastAsia="de-CH"/>
        </w:rPr>
        <w:t>Arbeitgebenden</w:t>
      </w:r>
      <w:proofErr w:type="spellEnd"/>
      <w:r w:rsidR="00AD5D08" w:rsidRPr="001555C8">
        <w:rPr>
          <w:lang w:eastAsia="de-CH"/>
        </w:rPr>
        <w:t xml:space="preserve"> beteiligen sich somit zu gleichen Teilen an der Pensionskassenreform</w:t>
      </w:r>
      <w:r w:rsidR="003E2FC3" w:rsidRPr="001555C8">
        <w:rPr>
          <w:lang w:eastAsia="de-CH"/>
        </w:rPr>
        <w:t>.</w:t>
      </w:r>
    </w:p>
    <w:p w:rsidR="00913B2F" w:rsidRDefault="00913B2F" w:rsidP="00086991">
      <w:pPr>
        <w:pStyle w:val="Textkrper"/>
        <w:rPr>
          <w:lang w:eastAsia="de-CH"/>
        </w:rPr>
      </w:pPr>
    </w:p>
    <w:p w:rsidR="00913B2F" w:rsidRDefault="00913B2F" w:rsidP="00086991">
      <w:pPr>
        <w:pStyle w:val="Textkrper"/>
        <w:rPr>
          <w:lang w:eastAsia="de-CH"/>
        </w:rPr>
      </w:pPr>
    </w:p>
    <w:p w:rsidR="00913B2F" w:rsidRDefault="00913B2F" w:rsidP="00913B2F">
      <w:pPr>
        <w:pStyle w:val="berschrift1"/>
        <w:numPr>
          <w:ilvl w:val="0"/>
          <w:numId w:val="2"/>
        </w:numPr>
        <w:tabs>
          <w:tab w:val="clear" w:pos="567"/>
          <w:tab w:val="left" w:pos="992"/>
        </w:tabs>
        <w:rPr>
          <w:lang w:eastAsia="de-CH"/>
        </w:rPr>
      </w:pPr>
      <w:bookmarkStart w:id="101" w:name="_Toc358786222"/>
      <w:r>
        <w:rPr>
          <w:lang w:eastAsia="de-CH"/>
        </w:rPr>
        <w:t>Vernehmlassung</w:t>
      </w:r>
      <w:bookmarkEnd w:id="101"/>
      <w:r>
        <w:rPr>
          <w:lang w:eastAsia="de-CH"/>
        </w:rPr>
        <w:t>en</w:t>
      </w:r>
    </w:p>
    <w:p w:rsidR="00086991" w:rsidRDefault="00913B2F" w:rsidP="00086991">
      <w:pPr>
        <w:pStyle w:val="Textkrper"/>
        <w:rPr>
          <w:lang w:eastAsia="de-CH"/>
        </w:rPr>
      </w:pPr>
      <w:r w:rsidRPr="00913B2F">
        <w:rPr>
          <w:lang w:eastAsia="de-CH"/>
        </w:rPr>
        <w:t xml:space="preserve">Im Rahmen </w:t>
      </w:r>
      <w:r w:rsidR="00C83F16">
        <w:rPr>
          <w:lang w:eastAsia="de-CH"/>
        </w:rPr>
        <w:t xml:space="preserve">des </w:t>
      </w:r>
      <w:proofErr w:type="spellStart"/>
      <w:r>
        <w:rPr>
          <w:lang w:eastAsia="de-CH"/>
        </w:rPr>
        <w:t>Vernehmlassungsverfahren</w:t>
      </w:r>
      <w:r w:rsidR="00C83F16">
        <w:rPr>
          <w:lang w:eastAsia="de-CH"/>
        </w:rPr>
        <w:t>s</w:t>
      </w:r>
      <w:proofErr w:type="spellEnd"/>
      <w:r>
        <w:rPr>
          <w:lang w:eastAsia="de-CH"/>
        </w:rPr>
        <w:t xml:space="preserve"> </w:t>
      </w:r>
      <w:r w:rsidR="000B3753">
        <w:rPr>
          <w:lang w:eastAsia="de-CH"/>
        </w:rPr>
        <w:t xml:space="preserve">von je einer Variante im Beitrags- und Leistungsprimat </w:t>
      </w:r>
      <w:r>
        <w:rPr>
          <w:lang w:eastAsia="de-CH"/>
        </w:rPr>
        <w:t>wurden sämtliche Fraktionen, angeschlossene Körperschaften sowie Arbeitnehmervertreterorganisationen und die Vereinigung der pensionierten Mitglieder der Pensionskasse zur Vernehmlassung eingeladen.</w:t>
      </w:r>
    </w:p>
    <w:p w:rsidR="00913B2F" w:rsidRDefault="00913B2F" w:rsidP="00086991">
      <w:pPr>
        <w:pStyle w:val="Textkrper"/>
        <w:rPr>
          <w:lang w:eastAsia="de-CH"/>
        </w:rPr>
      </w:pPr>
    </w:p>
    <w:p w:rsidR="00913B2F" w:rsidRDefault="00913B2F" w:rsidP="00086991">
      <w:pPr>
        <w:pStyle w:val="Textkrper"/>
        <w:rPr>
          <w:lang w:eastAsia="de-CH"/>
        </w:rPr>
      </w:pPr>
      <w:r>
        <w:rPr>
          <w:lang w:eastAsia="de-CH"/>
        </w:rPr>
        <w:t>Dabei wurden 6 Fragen gestellt:</w:t>
      </w:r>
      <w:r>
        <w:rPr>
          <w:lang w:eastAsia="de-CH"/>
        </w:rPr>
        <w:br/>
      </w:r>
    </w:p>
    <w:p w:rsidR="00913B2F" w:rsidRPr="00913B2F" w:rsidRDefault="00913B2F" w:rsidP="00913B2F">
      <w:pPr>
        <w:pStyle w:val="Textkrper"/>
        <w:numPr>
          <w:ilvl w:val="0"/>
          <w:numId w:val="37"/>
        </w:numPr>
        <w:rPr>
          <w:lang w:eastAsia="de-CH"/>
        </w:rPr>
      </w:pPr>
      <w:r w:rsidRPr="00266F89">
        <w:rPr>
          <w:i/>
          <w:iCs/>
          <w:sz w:val="20"/>
        </w:rPr>
        <w:t>Einrichtungen des öffentlichen Rechtes können neu nur entweder die Bestimmungen über die Leistungen oder jene über die Finanzierung für ihre Pensionskasse erlassen (Art. 50 Abs. 2 BVG). Stimmen Sie der Haltung des Stadtrates zu, dass für öffentlich-rechtliche Körperscha</w:t>
      </w:r>
      <w:r w:rsidRPr="00266F89">
        <w:rPr>
          <w:i/>
          <w:iCs/>
          <w:sz w:val="20"/>
        </w:rPr>
        <w:t>f</w:t>
      </w:r>
      <w:r w:rsidRPr="00266F89">
        <w:rPr>
          <w:i/>
          <w:iCs/>
          <w:sz w:val="20"/>
        </w:rPr>
        <w:t>ten der Grundsatz der Finanzierung gelten soll?</w:t>
      </w:r>
      <w:r>
        <w:rPr>
          <w:i/>
          <w:iCs/>
          <w:sz w:val="20"/>
        </w:rPr>
        <w:br/>
      </w:r>
    </w:p>
    <w:p w:rsidR="00913B2F" w:rsidRPr="00913B2F" w:rsidRDefault="00913B2F" w:rsidP="00913B2F">
      <w:pPr>
        <w:pStyle w:val="Textkrper"/>
        <w:numPr>
          <w:ilvl w:val="0"/>
          <w:numId w:val="37"/>
        </w:numPr>
        <w:rPr>
          <w:lang w:eastAsia="de-CH"/>
        </w:rPr>
      </w:pPr>
      <w:r w:rsidRPr="00913B2F">
        <w:rPr>
          <w:i/>
          <w:iCs/>
          <w:sz w:val="20"/>
        </w:rPr>
        <w:t>Gemäss BVG besteht für öffentlich-rechtliche Kassen die Option, die Kasse im System der Teilkapitalisierung zu führen. Bedingung ist, dass im Gesetz eine Staatsgarantie für die betroffene Pensionskasse geregelt ist. Befürworten Sie eher das System der Vollkapitalisi</w:t>
      </w:r>
      <w:r w:rsidRPr="00913B2F">
        <w:rPr>
          <w:i/>
          <w:iCs/>
          <w:sz w:val="20"/>
        </w:rPr>
        <w:t>e</w:t>
      </w:r>
      <w:r w:rsidRPr="00913B2F">
        <w:rPr>
          <w:i/>
          <w:iCs/>
          <w:sz w:val="20"/>
        </w:rPr>
        <w:t>rung oder eher jenes Teilkapitalisierung</w:t>
      </w:r>
      <w:r w:rsidR="00944D9C">
        <w:rPr>
          <w:i/>
          <w:iCs/>
          <w:sz w:val="20"/>
        </w:rPr>
        <w:t>?</w:t>
      </w:r>
      <w:r>
        <w:rPr>
          <w:i/>
          <w:iCs/>
          <w:sz w:val="20"/>
        </w:rPr>
        <w:br/>
      </w:r>
    </w:p>
    <w:p w:rsidR="00913B2F" w:rsidRPr="00913B2F" w:rsidRDefault="00913B2F" w:rsidP="00913B2F">
      <w:pPr>
        <w:pStyle w:val="Textkrper"/>
        <w:numPr>
          <w:ilvl w:val="0"/>
          <w:numId w:val="37"/>
        </w:numPr>
        <w:rPr>
          <w:lang w:eastAsia="de-CH"/>
        </w:rPr>
      </w:pPr>
      <w:r w:rsidRPr="00266F89">
        <w:rPr>
          <w:i/>
          <w:iCs/>
          <w:sz w:val="20"/>
        </w:rPr>
        <w:t>In der vorgesehenen Variante kommt das System der Teilkapitalisierung zum Zug. Dabei wird der Ausgangsdeckungsgrad auf  80% und Wertschwankungsreserven auf  20% festzulegen. Sind Sie mit dieser Lösung einverstanden?</w:t>
      </w:r>
      <w:r>
        <w:rPr>
          <w:i/>
          <w:iCs/>
          <w:sz w:val="20"/>
        </w:rPr>
        <w:br/>
      </w:r>
    </w:p>
    <w:p w:rsidR="00913B2F" w:rsidRPr="00913B2F" w:rsidRDefault="00913B2F" w:rsidP="00913B2F">
      <w:pPr>
        <w:pStyle w:val="Textkrper"/>
        <w:numPr>
          <w:ilvl w:val="0"/>
          <w:numId w:val="37"/>
        </w:numPr>
        <w:rPr>
          <w:lang w:eastAsia="de-CH"/>
        </w:rPr>
      </w:pPr>
      <w:r w:rsidRPr="00266F89">
        <w:rPr>
          <w:i/>
          <w:iCs/>
          <w:sz w:val="20"/>
        </w:rPr>
        <w:t xml:space="preserve">Sind </w:t>
      </w:r>
      <w:r w:rsidR="00944D9C">
        <w:rPr>
          <w:i/>
          <w:iCs/>
          <w:sz w:val="20"/>
        </w:rPr>
        <w:t>S</w:t>
      </w:r>
      <w:r w:rsidRPr="00266F89">
        <w:rPr>
          <w:i/>
          <w:iCs/>
          <w:sz w:val="20"/>
        </w:rPr>
        <w:t>ie mit der Erhöhung des Rücktrittsalter vo</w:t>
      </w:r>
      <w:r>
        <w:rPr>
          <w:i/>
          <w:iCs/>
          <w:sz w:val="20"/>
        </w:rPr>
        <w:t>n 63 auf 65 Jahre einverstanden</w:t>
      </w:r>
      <w:r w:rsidRPr="00266F89">
        <w:rPr>
          <w:i/>
          <w:iCs/>
          <w:sz w:val="20"/>
        </w:rPr>
        <w:t>?</w:t>
      </w:r>
      <w:r>
        <w:rPr>
          <w:i/>
          <w:iCs/>
          <w:sz w:val="20"/>
        </w:rPr>
        <w:br/>
      </w:r>
    </w:p>
    <w:p w:rsidR="009F7385" w:rsidRPr="00434B7B" w:rsidRDefault="00913B2F" w:rsidP="00913B2F">
      <w:pPr>
        <w:pStyle w:val="Textkrper"/>
        <w:numPr>
          <w:ilvl w:val="0"/>
          <w:numId w:val="37"/>
        </w:numPr>
        <w:rPr>
          <w:lang w:eastAsia="de-CH"/>
        </w:rPr>
      </w:pPr>
      <w:r w:rsidRPr="00434B7B">
        <w:rPr>
          <w:i/>
          <w:iCs/>
          <w:sz w:val="20"/>
        </w:rPr>
        <w:t>Sind Sie mit dem vorgeschlagenen Wechsel in das Beitragsprimat einverstanden?</w:t>
      </w:r>
      <w:r w:rsidR="009F7385" w:rsidRPr="00434B7B">
        <w:rPr>
          <w:i/>
          <w:iCs/>
          <w:sz w:val="20"/>
        </w:rPr>
        <w:br/>
      </w:r>
    </w:p>
    <w:p w:rsidR="009F7385" w:rsidRPr="00434B7B" w:rsidRDefault="009F7385" w:rsidP="009F7385">
      <w:pPr>
        <w:pStyle w:val="Textkrper"/>
        <w:numPr>
          <w:ilvl w:val="0"/>
          <w:numId w:val="37"/>
        </w:numPr>
        <w:rPr>
          <w:lang w:eastAsia="de-CH"/>
        </w:rPr>
      </w:pPr>
      <w:r w:rsidRPr="00434B7B">
        <w:rPr>
          <w:i/>
          <w:iCs/>
          <w:sz w:val="20"/>
        </w:rPr>
        <w:t xml:space="preserve">Sind Sie mit den </w:t>
      </w:r>
      <w:proofErr w:type="spellStart"/>
      <w:r w:rsidRPr="00434B7B">
        <w:rPr>
          <w:i/>
          <w:iCs/>
          <w:sz w:val="20"/>
        </w:rPr>
        <w:t>Besitzstandskosten</w:t>
      </w:r>
      <w:proofErr w:type="spellEnd"/>
      <w:r w:rsidRPr="00434B7B">
        <w:rPr>
          <w:i/>
          <w:iCs/>
          <w:sz w:val="20"/>
        </w:rPr>
        <w:t xml:space="preserve"> für den Wechsel in das Beitragsprimat einverstanden?</w:t>
      </w:r>
    </w:p>
    <w:p w:rsidR="009F7385" w:rsidRDefault="009F7385" w:rsidP="009F7385">
      <w:pPr>
        <w:pStyle w:val="Textkrper"/>
        <w:rPr>
          <w:i/>
          <w:iCs/>
          <w:sz w:val="20"/>
        </w:rPr>
      </w:pPr>
    </w:p>
    <w:p w:rsidR="009F7385" w:rsidRPr="009F7385" w:rsidRDefault="009F7385" w:rsidP="009F7385">
      <w:pPr>
        <w:pStyle w:val="Textkrper"/>
        <w:rPr>
          <w:lang w:eastAsia="de-CH"/>
        </w:rPr>
      </w:pPr>
      <w:r w:rsidRPr="009F7385">
        <w:rPr>
          <w:lang w:eastAsia="de-CH"/>
        </w:rPr>
        <w:t xml:space="preserve">Folgende Parteien </w:t>
      </w:r>
      <w:r w:rsidR="00C83F16">
        <w:rPr>
          <w:lang w:eastAsia="de-CH"/>
        </w:rPr>
        <w:t xml:space="preserve">und Organisationen </w:t>
      </w:r>
      <w:r w:rsidRPr="009F7385">
        <w:rPr>
          <w:lang w:eastAsia="de-CH"/>
        </w:rPr>
        <w:t>haben eine Stellungnahme abgegeben:</w:t>
      </w:r>
    </w:p>
    <w:p w:rsidR="007F7E03" w:rsidRDefault="009F7385" w:rsidP="009F7385">
      <w:pPr>
        <w:pStyle w:val="Textkrper"/>
        <w:rPr>
          <w:lang w:eastAsia="de-CH"/>
        </w:rPr>
      </w:pPr>
      <w:r>
        <w:rPr>
          <w:lang w:eastAsia="de-CH"/>
        </w:rPr>
        <w:t>Parteien: SP,</w:t>
      </w:r>
      <w:r w:rsidR="00C83F16">
        <w:rPr>
          <w:lang w:eastAsia="de-CH"/>
        </w:rPr>
        <w:t xml:space="preserve"> </w:t>
      </w:r>
      <w:r>
        <w:rPr>
          <w:lang w:eastAsia="de-CH"/>
        </w:rPr>
        <w:t>FDP,</w:t>
      </w:r>
      <w:r w:rsidR="00C83F16">
        <w:rPr>
          <w:lang w:eastAsia="de-CH"/>
        </w:rPr>
        <w:t xml:space="preserve"> </w:t>
      </w:r>
      <w:r>
        <w:rPr>
          <w:lang w:eastAsia="de-CH"/>
        </w:rPr>
        <w:t>CVP/EVP/GLP,</w:t>
      </w:r>
      <w:r w:rsidR="00C83F16">
        <w:rPr>
          <w:lang w:eastAsia="de-CH"/>
        </w:rPr>
        <w:t xml:space="preserve"> </w:t>
      </w:r>
      <w:r w:rsidR="001E2C4F">
        <w:rPr>
          <w:lang w:eastAsia="de-CH"/>
        </w:rPr>
        <w:t>SVP, Grüne</w:t>
      </w:r>
      <w:r w:rsidR="001E2C4F">
        <w:rPr>
          <w:lang w:eastAsia="de-CH"/>
        </w:rPr>
        <w:br/>
        <w:t>Arbeitnehmerorganisationen: VSPB;</w:t>
      </w:r>
      <w:r w:rsidR="00C83F16">
        <w:rPr>
          <w:lang w:eastAsia="de-CH"/>
        </w:rPr>
        <w:t xml:space="preserve"> </w:t>
      </w:r>
      <w:r w:rsidR="001E2C4F">
        <w:rPr>
          <w:lang w:eastAsia="de-CH"/>
        </w:rPr>
        <w:t>VPOD,</w:t>
      </w:r>
      <w:r w:rsidR="00C83F16">
        <w:rPr>
          <w:lang w:eastAsia="de-CH"/>
        </w:rPr>
        <w:t xml:space="preserve"> </w:t>
      </w:r>
      <w:r w:rsidR="001E2C4F">
        <w:rPr>
          <w:lang w:eastAsia="de-CH"/>
        </w:rPr>
        <w:t>PKO,</w:t>
      </w:r>
      <w:r w:rsidR="00C83F16">
        <w:rPr>
          <w:lang w:eastAsia="de-CH"/>
        </w:rPr>
        <w:t xml:space="preserve"> </w:t>
      </w:r>
      <w:r w:rsidR="001E2C4F">
        <w:rPr>
          <w:lang w:eastAsia="de-CH"/>
        </w:rPr>
        <w:t xml:space="preserve">Betriebskommission (mit einer gesamten Stellungnahme), </w:t>
      </w:r>
      <w:r w:rsidR="007F7E03">
        <w:rPr>
          <w:lang w:eastAsia="de-CH"/>
        </w:rPr>
        <w:t>Vereinigung pensionierter Mitglieder der PKO</w:t>
      </w:r>
      <w:r w:rsidR="0020578F">
        <w:rPr>
          <w:lang w:eastAsia="de-CH"/>
        </w:rPr>
        <w:br/>
        <w:t xml:space="preserve">Angeschlossene Körperschaften: EG Trimbach, </w:t>
      </w:r>
      <w:proofErr w:type="spellStart"/>
      <w:r w:rsidR="0020578F">
        <w:rPr>
          <w:lang w:eastAsia="de-CH"/>
        </w:rPr>
        <w:t>Ref</w:t>
      </w:r>
      <w:proofErr w:type="spellEnd"/>
      <w:r w:rsidR="0020578F">
        <w:rPr>
          <w:lang w:eastAsia="de-CH"/>
        </w:rPr>
        <w:t>. KG Olten, APH St. Martin</w:t>
      </w:r>
      <w:r w:rsidR="0020578F">
        <w:rPr>
          <w:lang w:eastAsia="de-CH"/>
        </w:rPr>
        <w:br/>
      </w:r>
    </w:p>
    <w:p w:rsidR="007F7E03" w:rsidRDefault="007F7E03" w:rsidP="009F7385">
      <w:pPr>
        <w:pStyle w:val="Textkrper"/>
        <w:rPr>
          <w:lang w:eastAsia="de-CH"/>
        </w:rPr>
      </w:pPr>
      <w:r>
        <w:rPr>
          <w:lang w:eastAsia="de-CH"/>
        </w:rPr>
        <w:t>Die Antworten zeigen folgendes Bild:</w:t>
      </w:r>
    </w:p>
    <w:p w:rsidR="00C83F16" w:rsidRDefault="00C83F16">
      <w:pPr>
        <w:overflowPunct/>
        <w:autoSpaceDE/>
        <w:autoSpaceDN/>
        <w:adjustRightInd/>
        <w:textAlignment w:val="auto"/>
        <w:rPr>
          <w:rFonts w:cs="Arial"/>
          <w:b/>
          <w:color w:val="000000"/>
          <w:szCs w:val="22"/>
          <w:lang w:eastAsia="de-CH"/>
        </w:rPr>
      </w:pPr>
      <w:r>
        <w:rPr>
          <w:rFonts w:cs="Arial"/>
          <w:b/>
          <w:color w:val="000000"/>
          <w:szCs w:val="22"/>
          <w:lang w:eastAsia="de-CH"/>
        </w:rPr>
        <w:br w:type="page"/>
      </w:r>
    </w:p>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Frage 1:</w:t>
      </w:r>
      <w:r>
        <w:rPr>
          <w:rFonts w:cs="Arial"/>
          <w:color w:val="000000"/>
          <w:szCs w:val="22"/>
          <w:lang w:eastAsia="de-CH"/>
        </w:rPr>
        <w:t xml:space="preserve"> Bestimmung von Leistung oder Finanzierung</w:t>
      </w:r>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Leistung</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Finanzierung</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0</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11</w:t>
            </w:r>
          </w:p>
        </w:tc>
        <w:tc>
          <w:tcPr>
            <w:tcW w:w="4575" w:type="dxa"/>
          </w:tcPr>
          <w:p w:rsidR="007F7E03" w:rsidRDefault="007F7E03" w:rsidP="007F7E03">
            <w:pPr>
              <w:spacing w:before="100" w:beforeAutospacing="1" w:after="100" w:afterAutospacing="1"/>
              <w:jc w:val="both"/>
              <w:rPr>
                <w:rFonts w:cs="Arial"/>
                <w:color w:val="000000"/>
                <w:szCs w:val="22"/>
                <w:lang w:eastAsia="de-CH"/>
              </w:rPr>
            </w:pPr>
            <w:r>
              <w:rPr>
                <w:rFonts w:cs="Arial"/>
                <w:color w:val="000000"/>
                <w:szCs w:val="22"/>
                <w:lang w:eastAsia="de-CH"/>
              </w:rPr>
              <w:t>-</w:t>
            </w:r>
          </w:p>
        </w:tc>
      </w:tr>
    </w:tbl>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Frage 2:</w:t>
      </w:r>
      <w:r>
        <w:rPr>
          <w:rFonts w:cs="Arial"/>
          <w:color w:val="000000"/>
          <w:szCs w:val="22"/>
          <w:lang w:eastAsia="de-CH"/>
        </w:rPr>
        <w:t xml:space="preserve"> Systemwahl, Voll- oder Teilkapitalisierung</w:t>
      </w:r>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Pr>
                <w:rFonts w:cs="Arial"/>
                <w:b/>
                <w:color w:val="000000"/>
                <w:szCs w:val="22"/>
                <w:lang w:eastAsia="de-CH"/>
              </w:rPr>
              <w:t>Vollkapitalisierung</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Teilkapitalisierung</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3</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8</w:t>
            </w:r>
          </w:p>
        </w:tc>
        <w:tc>
          <w:tcPr>
            <w:tcW w:w="4575" w:type="dxa"/>
          </w:tcPr>
          <w:p w:rsidR="007F7E03" w:rsidRDefault="007F7E03" w:rsidP="00F119B6">
            <w:pPr>
              <w:spacing w:before="100" w:beforeAutospacing="1" w:after="100" w:afterAutospacing="1"/>
              <w:jc w:val="both"/>
              <w:rPr>
                <w:rFonts w:cs="Arial"/>
                <w:color w:val="000000"/>
                <w:szCs w:val="22"/>
                <w:lang w:eastAsia="de-CH"/>
              </w:rPr>
            </w:pPr>
            <w:r>
              <w:rPr>
                <w:rFonts w:cs="Arial"/>
                <w:color w:val="000000"/>
                <w:szCs w:val="22"/>
                <w:lang w:eastAsia="de-CH"/>
              </w:rPr>
              <w:t xml:space="preserve">Die FDP sowie die Bürgergemeinde Olten wünschen eine Vollkapitalisierung. Für die FDP </w:t>
            </w:r>
            <w:r w:rsidR="00C83F16">
              <w:rPr>
                <w:rFonts w:cs="Arial"/>
                <w:color w:val="000000"/>
                <w:szCs w:val="22"/>
                <w:lang w:eastAsia="de-CH"/>
              </w:rPr>
              <w:t xml:space="preserve">besteht die Gefahr, dass </w:t>
            </w:r>
            <w:r>
              <w:rPr>
                <w:rFonts w:cs="Arial"/>
                <w:color w:val="000000"/>
                <w:szCs w:val="22"/>
                <w:lang w:eastAsia="de-CH"/>
              </w:rPr>
              <w:t>die Teilkapitalisierung zu teuer</w:t>
            </w:r>
            <w:r w:rsidR="00C83F16">
              <w:rPr>
                <w:rFonts w:cs="Arial"/>
                <w:color w:val="000000"/>
                <w:szCs w:val="22"/>
                <w:lang w:eastAsia="de-CH"/>
              </w:rPr>
              <w:t xml:space="preserve"> wird</w:t>
            </w:r>
            <w:r>
              <w:rPr>
                <w:rFonts w:cs="Arial"/>
                <w:color w:val="000000"/>
                <w:szCs w:val="22"/>
                <w:lang w:eastAsia="de-CH"/>
              </w:rPr>
              <w:t>. Die EG Trimbach bevorzugt eher die Vollkapitalisi</w:t>
            </w:r>
            <w:r>
              <w:rPr>
                <w:rFonts w:cs="Arial"/>
                <w:color w:val="000000"/>
                <w:szCs w:val="22"/>
                <w:lang w:eastAsia="de-CH"/>
              </w:rPr>
              <w:t>e</w:t>
            </w:r>
            <w:r>
              <w:rPr>
                <w:rFonts w:cs="Arial"/>
                <w:color w:val="000000"/>
                <w:szCs w:val="22"/>
                <w:lang w:eastAsia="de-CH"/>
              </w:rPr>
              <w:t>rung.</w:t>
            </w:r>
          </w:p>
        </w:tc>
      </w:tr>
    </w:tbl>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 xml:space="preserve">Frage </w:t>
      </w:r>
      <w:r>
        <w:rPr>
          <w:rFonts w:cs="Arial"/>
          <w:b/>
          <w:color w:val="000000"/>
          <w:szCs w:val="22"/>
          <w:lang w:eastAsia="de-CH"/>
        </w:rPr>
        <w:t>3</w:t>
      </w:r>
      <w:r w:rsidRPr="004D243C">
        <w:rPr>
          <w:rFonts w:cs="Arial"/>
          <w:b/>
          <w:color w:val="000000"/>
          <w:szCs w:val="22"/>
          <w:lang w:eastAsia="de-CH"/>
        </w:rPr>
        <w:t>:</w:t>
      </w:r>
      <w:r>
        <w:rPr>
          <w:rFonts w:cs="Arial"/>
          <w:color w:val="000000"/>
          <w:szCs w:val="22"/>
          <w:lang w:eastAsia="de-CH"/>
        </w:rPr>
        <w:t xml:space="preserve"> Ausgangsdeckungsgrad 80%, 20% Wertschwankungsreserve</w:t>
      </w:r>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Pr>
                <w:rFonts w:cs="Arial"/>
                <w:b/>
                <w:color w:val="000000"/>
                <w:szCs w:val="22"/>
                <w:lang w:eastAsia="de-CH"/>
              </w:rPr>
              <w:t>n. einverstanden</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einverstanden</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3</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8</w:t>
            </w:r>
          </w:p>
        </w:tc>
        <w:tc>
          <w:tcPr>
            <w:tcW w:w="4575" w:type="dxa"/>
          </w:tcPr>
          <w:p w:rsidR="007F7E03" w:rsidRDefault="007F7E03" w:rsidP="007F7E03">
            <w:pPr>
              <w:spacing w:before="100" w:beforeAutospacing="1" w:after="100" w:afterAutospacing="1"/>
              <w:jc w:val="both"/>
              <w:rPr>
                <w:rFonts w:cs="Arial"/>
                <w:color w:val="000000"/>
                <w:szCs w:val="22"/>
                <w:lang w:eastAsia="de-CH"/>
              </w:rPr>
            </w:pPr>
            <w:r>
              <w:rPr>
                <w:rFonts w:cs="Arial"/>
                <w:color w:val="000000"/>
                <w:szCs w:val="22"/>
                <w:lang w:eastAsia="de-CH"/>
              </w:rPr>
              <w:t>Die FDP sowie die Bürgergemeinde Olten wünschen eine Vollkapitalisierung und beantrag</w:t>
            </w:r>
            <w:r w:rsidR="00C83F16">
              <w:rPr>
                <w:rFonts w:cs="Arial"/>
                <w:color w:val="000000"/>
                <w:szCs w:val="22"/>
                <w:lang w:eastAsia="de-CH"/>
              </w:rPr>
              <w:t>en</w:t>
            </w:r>
            <w:r>
              <w:rPr>
                <w:rFonts w:cs="Arial"/>
                <w:color w:val="000000"/>
                <w:szCs w:val="22"/>
                <w:lang w:eastAsia="de-CH"/>
              </w:rPr>
              <w:t xml:space="preserve"> die Ausarbeitung einer Vollkapitalisierung mit einer Ausfinanzierung innert 10 Jahren. Die Bürgergemeinde wünscht ein Modell Vollkapitalisierung + 15% Wertschwankungsreserve, für die FDP wird die Teilkapitalisierung zu teuer. Die Arbeitnehmerorganisationen wünschen eine Wertschwankungsreserve von </w:t>
            </w:r>
            <w:r w:rsidRPr="00F33B42">
              <w:rPr>
                <w:rFonts w:cs="Arial"/>
                <w:color w:val="000000"/>
                <w:szCs w:val="22"/>
                <w:u w:val="single"/>
                <w:lang w:eastAsia="de-CH"/>
              </w:rPr>
              <w:t>mehr</w:t>
            </w:r>
            <w:r>
              <w:rPr>
                <w:rFonts w:cs="Arial"/>
                <w:color w:val="000000"/>
                <w:szCs w:val="22"/>
                <w:lang w:eastAsia="de-CH"/>
              </w:rPr>
              <w:t xml:space="preserve"> als 20%.</w:t>
            </w:r>
          </w:p>
        </w:tc>
      </w:tr>
    </w:tbl>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Frage 4</w:t>
      </w:r>
      <w:r>
        <w:rPr>
          <w:rFonts w:cs="Arial"/>
          <w:color w:val="000000"/>
          <w:szCs w:val="22"/>
          <w:lang w:eastAsia="de-CH"/>
        </w:rPr>
        <w:t>: Erhöhung des Rentenalters von 63 auf 65 Jahre</w:t>
      </w:r>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Pr>
                <w:rFonts w:cs="Arial"/>
                <w:b/>
                <w:color w:val="000000"/>
                <w:szCs w:val="22"/>
                <w:lang w:eastAsia="de-CH"/>
              </w:rPr>
              <w:t>n. einverstanden</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einverstanden</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1</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10</w:t>
            </w:r>
          </w:p>
        </w:tc>
        <w:tc>
          <w:tcPr>
            <w:tcW w:w="4575" w:type="dxa"/>
          </w:tcPr>
          <w:p w:rsidR="007F7E03" w:rsidRDefault="007F7E03" w:rsidP="007F7E03">
            <w:pPr>
              <w:spacing w:before="100" w:beforeAutospacing="1" w:after="100" w:afterAutospacing="1"/>
              <w:jc w:val="both"/>
              <w:rPr>
                <w:rFonts w:cs="Arial"/>
                <w:color w:val="000000"/>
                <w:szCs w:val="22"/>
                <w:lang w:eastAsia="de-CH"/>
              </w:rPr>
            </w:pPr>
            <w:r>
              <w:rPr>
                <w:rFonts w:cs="Arial"/>
                <w:color w:val="000000"/>
                <w:szCs w:val="22"/>
                <w:lang w:eastAsia="de-CH"/>
              </w:rPr>
              <w:t>Die Grünen lehnen das Rücktrittsalter 65 ab. Es soll generell das Rücktrittsalter 64 gelten. Die Arbeitnehmerorganisationen stimmen einer Erhöhung des Rentenalters nur unter der Voraussetzung zu dass bei der Arbeitszeitregelung und der Ferienregelung in der Stadt Olten Verbesserungen erzielt werden.</w:t>
            </w:r>
          </w:p>
        </w:tc>
      </w:tr>
    </w:tbl>
    <w:p w:rsidR="0020578F" w:rsidRDefault="0020578F" w:rsidP="007F7E03">
      <w:pPr>
        <w:spacing w:before="100" w:beforeAutospacing="1" w:after="100" w:afterAutospacing="1"/>
        <w:jc w:val="both"/>
        <w:rPr>
          <w:rFonts w:cs="Arial"/>
          <w:b/>
          <w:color w:val="000000"/>
          <w:szCs w:val="22"/>
          <w:lang w:eastAsia="de-CH"/>
        </w:rPr>
      </w:pPr>
    </w:p>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 xml:space="preserve">Frage </w:t>
      </w:r>
      <w:r>
        <w:rPr>
          <w:rFonts w:cs="Arial"/>
          <w:b/>
          <w:color w:val="000000"/>
          <w:szCs w:val="22"/>
          <w:lang w:eastAsia="de-CH"/>
        </w:rPr>
        <w:t>5</w:t>
      </w:r>
      <w:r>
        <w:rPr>
          <w:rFonts w:cs="Arial"/>
          <w:color w:val="000000"/>
          <w:szCs w:val="22"/>
          <w:lang w:eastAsia="de-CH"/>
        </w:rPr>
        <w:t>: Wechsel vom Leistungs- in das Beitragsprimat</w:t>
      </w:r>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Pr>
                <w:rFonts w:cs="Arial"/>
                <w:b/>
                <w:color w:val="000000"/>
                <w:szCs w:val="22"/>
                <w:lang w:eastAsia="de-CH"/>
              </w:rPr>
              <w:t>n. einverstanden</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einverstanden</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2</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9</w:t>
            </w:r>
          </w:p>
        </w:tc>
        <w:tc>
          <w:tcPr>
            <w:tcW w:w="4575" w:type="dxa"/>
          </w:tcPr>
          <w:p w:rsidR="007F7E03" w:rsidRDefault="007F7E03" w:rsidP="007F7E03">
            <w:pPr>
              <w:spacing w:before="100" w:beforeAutospacing="1" w:after="100" w:afterAutospacing="1"/>
              <w:jc w:val="both"/>
              <w:rPr>
                <w:rFonts w:cs="Arial"/>
                <w:color w:val="000000"/>
                <w:szCs w:val="22"/>
                <w:lang w:eastAsia="de-CH"/>
              </w:rPr>
            </w:pPr>
            <w:r>
              <w:rPr>
                <w:rFonts w:cs="Arial"/>
                <w:color w:val="000000"/>
                <w:szCs w:val="22"/>
                <w:lang w:eastAsia="de-CH"/>
              </w:rPr>
              <w:t>Die SP kann mit beiden Modellen leben. Die Arbeitnehmerorganisationen wollen das Leistungsprimat beibehalten, die Vereinigung der Pensionierten schliessen sich aus Solidaritätsgründen den Arbeitnehmerorganisationen an.</w:t>
            </w:r>
          </w:p>
        </w:tc>
      </w:tr>
    </w:tbl>
    <w:p w:rsidR="007F7E03" w:rsidRDefault="007F7E03" w:rsidP="007F7E03">
      <w:pPr>
        <w:spacing w:before="100" w:beforeAutospacing="1" w:after="100" w:afterAutospacing="1"/>
        <w:jc w:val="both"/>
        <w:rPr>
          <w:rFonts w:cs="Arial"/>
          <w:color w:val="000000"/>
          <w:szCs w:val="22"/>
          <w:lang w:eastAsia="de-CH"/>
        </w:rPr>
      </w:pPr>
      <w:r w:rsidRPr="004D243C">
        <w:rPr>
          <w:rFonts w:cs="Arial"/>
          <w:b/>
          <w:color w:val="000000"/>
          <w:szCs w:val="22"/>
          <w:lang w:eastAsia="de-CH"/>
        </w:rPr>
        <w:t xml:space="preserve">Frage </w:t>
      </w:r>
      <w:r>
        <w:rPr>
          <w:rFonts w:cs="Arial"/>
          <w:b/>
          <w:color w:val="000000"/>
          <w:szCs w:val="22"/>
          <w:lang w:eastAsia="de-CH"/>
        </w:rPr>
        <w:t>6</w:t>
      </w:r>
      <w:r>
        <w:rPr>
          <w:rFonts w:cs="Arial"/>
          <w:color w:val="000000"/>
          <w:szCs w:val="22"/>
          <w:lang w:eastAsia="de-CH"/>
        </w:rPr>
        <w:t xml:space="preserve">: Einverständnis zu den </w:t>
      </w:r>
      <w:proofErr w:type="spellStart"/>
      <w:r>
        <w:rPr>
          <w:rFonts w:cs="Arial"/>
          <w:color w:val="000000"/>
          <w:szCs w:val="22"/>
          <w:lang w:eastAsia="de-CH"/>
        </w:rPr>
        <w:t>Besitzstandskosten</w:t>
      </w:r>
      <w:proofErr w:type="spellEnd"/>
    </w:p>
    <w:tbl>
      <w:tblPr>
        <w:tblStyle w:val="Tabellengitternetz"/>
        <w:tblW w:w="9039" w:type="dxa"/>
        <w:tblLook w:val="04A0"/>
      </w:tblPr>
      <w:tblGrid>
        <w:gridCol w:w="2232"/>
        <w:gridCol w:w="2232"/>
        <w:gridCol w:w="4575"/>
      </w:tblGrid>
      <w:tr w:rsidR="007F7E03" w:rsidTr="007F7E03">
        <w:tc>
          <w:tcPr>
            <w:tcW w:w="2232" w:type="dxa"/>
          </w:tcPr>
          <w:p w:rsidR="007F7E03" w:rsidRPr="004D243C" w:rsidRDefault="007F7E03" w:rsidP="007F7E03">
            <w:pPr>
              <w:spacing w:before="100" w:beforeAutospacing="1" w:after="100" w:afterAutospacing="1"/>
              <w:jc w:val="both"/>
              <w:rPr>
                <w:rFonts w:cs="Arial"/>
                <w:b/>
                <w:color w:val="000000"/>
                <w:szCs w:val="22"/>
                <w:lang w:eastAsia="de-CH"/>
              </w:rPr>
            </w:pPr>
            <w:r>
              <w:rPr>
                <w:rFonts w:cs="Arial"/>
                <w:b/>
                <w:color w:val="000000"/>
                <w:szCs w:val="22"/>
                <w:lang w:eastAsia="de-CH"/>
              </w:rPr>
              <w:t>n. einverstanden</w:t>
            </w:r>
          </w:p>
        </w:tc>
        <w:tc>
          <w:tcPr>
            <w:tcW w:w="2232" w:type="dxa"/>
          </w:tcPr>
          <w:p w:rsidR="007F7E03" w:rsidRPr="00DC4799" w:rsidRDefault="007F7E03" w:rsidP="007F7E03">
            <w:pPr>
              <w:spacing w:before="100" w:beforeAutospacing="1" w:after="100" w:afterAutospacing="1"/>
              <w:jc w:val="both"/>
              <w:rPr>
                <w:rFonts w:cs="Arial"/>
                <w:b/>
                <w:i/>
                <w:color w:val="000000"/>
                <w:szCs w:val="22"/>
                <w:u w:val="single"/>
                <w:lang w:eastAsia="de-CH"/>
              </w:rPr>
            </w:pPr>
            <w:r w:rsidRPr="00DC4799">
              <w:rPr>
                <w:rFonts w:cs="Arial"/>
                <w:b/>
                <w:i/>
                <w:color w:val="000000"/>
                <w:szCs w:val="22"/>
                <w:u w:val="single"/>
                <w:lang w:eastAsia="de-CH"/>
              </w:rPr>
              <w:t>einverstanden</w:t>
            </w:r>
          </w:p>
        </w:tc>
        <w:tc>
          <w:tcPr>
            <w:tcW w:w="4575" w:type="dxa"/>
          </w:tcPr>
          <w:p w:rsidR="007F7E03" w:rsidRPr="004D243C" w:rsidRDefault="007F7E03" w:rsidP="007F7E03">
            <w:pPr>
              <w:spacing w:before="100" w:beforeAutospacing="1" w:after="100" w:afterAutospacing="1"/>
              <w:jc w:val="both"/>
              <w:rPr>
                <w:rFonts w:cs="Arial"/>
                <w:b/>
                <w:color w:val="000000"/>
                <w:szCs w:val="22"/>
                <w:lang w:eastAsia="de-CH"/>
              </w:rPr>
            </w:pPr>
            <w:r w:rsidRPr="004D243C">
              <w:rPr>
                <w:rFonts w:cs="Arial"/>
                <w:b/>
                <w:color w:val="000000"/>
                <w:szCs w:val="22"/>
                <w:lang w:eastAsia="de-CH"/>
              </w:rPr>
              <w:t>Kommentar</w:t>
            </w:r>
          </w:p>
        </w:tc>
      </w:tr>
      <w:tr w:rsidR="007F7E03" w:rsidTr="007F7E03">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1</w:t>
            </w:r>
          </w:p>
        </w:tc>
        <w:tc>
          <w:tcPr>
            <w:tcW w:w="2232" w:type="dxa"/>
          </w:tcPr>
          <w:p w:rsidR="007F7E03" w:rsidRDefault="007F7E03" w:rsidP="007F7E03">
            <w:pPr>
              <w:spacing w:before="100" w:beforeAutospacing="1" w:after="100" w:afterAutospacing="1"/>
              <w:jc w:val="right"/>
              <w:rPr>
                <w:rFonts w:cs="Arial"/>
                <w:color w:val="000000"/>
                <w:szCs w:val="22"/>
                <w:lang w:eastAsia="de-CH"/>
              </w:rPr>
            </w:pPr>
            <w:r>
              <w:rPr>
                <w:rFonts w:cs="Arial"/>
                <w:color w:val="000000"/>
                <w:szCs w:val="22"/>
                <w:lang w:eastAsia="de-CH"/>
              </w:rPr>
              <w:t>10</w:t>
            </w:r>
          </w:p>
        </w:tc>
        <w:tc>
          <w:tcPr>
            <w:tcW w:w="4575" w:type="dxa"/>
          </w:tcPr>
          <w:p w:rsidR="007F7E03" w:rsidRDefault="007F7E03" w:rsidP="007F7E03">
            <w:pPr>
              <w:spacing w:before="100" w:beforeAutospacing="1" w:after="100" w:afterAutospacing="1"/>
              <w:jc w:val="both"/>
              <w:rPr>
                <w:rFonts w:cs="Arial"/>
                <w:color w:val="000000"/>
                <w:szCs w:val="22"/>
                <w:lang w:eastAsia="de-CH"/>
              </w:rPr>
            </w:pPr>
            <w:r>
              <w:rPr>
                <w:rFonts w:cs="Arial"/>
                <w:color w:val="000000"/>
                <w:szCs w:val="22"/>
                <w:lang w:eastAsia="de-CH"/>
              </w:rPr>
              <w:t>Die Bürgergemeinde Olten möchte eine noch verschärftere Rücktrittsregelung mit dem vollen Besitzstand im Alter 63 und einem Teilbesitzstand ab Alter 57. Die FDP erwartet zudem eine weitere Variante mit abnehmenden Besitzstand ab Alter 63</w:t>
            </w:r>
            <w:r w:rsidR="00944D9C">
              <w:rPr>
                <w:rFonts w:cs="Arial"/>
                <w:color w:val="000000"/>
                <w:szCs w:val="22"/>
                <w:lang w:eastAsia="de-CH"/>
              </w:rPr>
              <w:t>.</w:t>
            </w:r>
          </w:p>
        </w:tc>
      </w:tr>
    </w:tbl>
    <w:p w:rsidR="007F7E03" w:rsidRDefault="007F7E03" w:rsidP="009F7385">
      <w:pPr>
        <w:pStyle w:val="Textkrper"/>
        <w:rPr>
          <w:lang w:eastAsia="de-CH"/>
        </w:rPr>
      </w:pPr>
    </w:p>
    <w:p w:rsidR="00944D9C" w:rsidRDefault="00944D9C" w:rsidP="009F7385">
      <w:pPr>
        <w:pStyle w:val="Textkrper"/>
        <w:rPr>
          <w:lang w:eastAsia="de-CH"/>
        </w:rPr>
      </w:pPr>
    </w:p>
    <w:p w:rsidR="00944D9C" w:rsidRDefault="00944D9C" w:rsidP="009F7385">
      <w:pPr>
        <w:pStyle w:val="Textkrper"/>
        <w:rPr>
          <w:b/>
          <w:lang w:eastAsia="de-CH"/>
        </w:rPr>
      </w:pPr>
      <w:r>
        <w:rPr>
          <w:b/>
          <w:lang w:eastAsia="de-CH"/>
        </w:rPr>
        <w:t>Zu den einzelnen Änderungswünschen:</w:t>
      </w:r>
    </w:p>
    <w:p w:rsidR="00944D9C" w:rsidRDefault="00944D9C" w:rsidP="009F7385">
      <w:pPr>
        <w:pStyle w:val="Textkrper"/>
        <w:rPr>
          <w:b/>
          <w:lang w:eastAsia="de-CH"/>
        </w:rPr>
      </w:pPr>
    </w:p>
    <w:p w:rsidR="007F7E03" w:rsidRPr="00524C37" w:rsidRDefault="007D0908" w:rsidP="009F7385">
      <w:pPr>
        <w:pStyle w:val="Textkrper"/>
        <w:rPr>
          <w:b/>
          <w:lang w:eastAsia="de-CH"/>
        </w:rPr>
      </w:pPr>
      <w:r>
        <w:rPr>
          <w:b/>
          <w:lang w:eastAsia="de-CH"/>
        </w:rPr>
        <w:t>Umsetzung der Revision mit einer Vollkapitalisierung und Ausfinanzierung auf 10 Jahre (Antrag der FDP)</w:t>
      </w:r>
    </w:p>
    <w:p w:rsidR="007F7E03" w:rsidRDefault="007F7E03" w:rsidP="009F7385">
      <w:pPr>
        <w:pStyle w:val="Textkrper"/>
        <w:rPr>
          <w:lang w:eastAsia="de-CH"/>
        </w:rPr>
      </w:pPr>
    </w:p>
    <w:p w:rsidR="007F7E03" w:rsidRDefault="007F7E03" w:rsidP="009F7385">
      <w:pPr>
        <w:pStyle w:val="Textkrper"/>
        <w:rPr>
          <w:lang w:eastAsia="de-CH"/>
        </w:rPr>
      </w:pPr>
      <w:r>
        <w:rPr>
          <w:lang w:eastAsia="de-CH"/>
        </w:rPr>
        <w:t>Die FDP beantragt die Ausarbeitung einer Revisionslösung in der Vollkapitalisierung mit einer Amortisation innert 10 Jahren. Es wird jedoch nicht darauf eingetreten</w:t>
      </w:r>
      <w:r w:rsidR="00944D9C">
        <w:rPr>
          <w:lang w:eastAsia="de-CH"/>
        </w:rPr>
        <w:t>,</w:t>
      </w:r>
      <w:r>
        <w:rPr>
          <w:lang w:eastAsia="de-CH"/>
        </w:rPr>
        <w:t xml:space="preserve"> ob die Sanierung zu 100% erfolgen soll oder ob sie zusätzlich mit entsprechenden Wertschwa</w:t>
      </w:r>
      <w:r>
        <w:rPr>
          <w:lang w:eastAsia="de-CH"/>
        </w:rPr>
        <w:t>n</w:t>
      </w:r>
      <w:r>
        <w:rPr>
          <w:lang w:eastAsia="de-CH"/>
        </w:rPr>
        <w:t>kungsreserven ausgestattet werden soll</w:t>
      </w:r>
      <w:r w:rsidR="00944D9C">
        <w:rPr>
          <w:lang w:eastAsia="de-CH"/>
        </w:rPr>
        <w:t>,</w:t>
      </w:r>
      <w:r>
        <w:rPr>
          <w:lang w:eastAsia="de-CH"/>
        </w:rPr>
        <w:t xml:space="preserve"> um den Verzicht einer Staatsgarantie zu ermöglichen.</w:t>
      </w:r>
    </w:p>
    <w:p w:rsidR="007F7E03" w:rsidRDefault="007F7E03" w:rsidP="009F7385">
      <w:pPr>
        <w:pStyle w:val="Textkrper"/>
        <w:rPr>
          <w:lang w:eastAsia="de-CH"/>
        </w:rPr>
      </w:pPr>
    </w:p>
    <w:p w:rsidR="007F7E03" w:rsidRDefault="007F7E03" w:rsidP="009F7385">
      <w:pPr>
        <w:pStyle w:val="Textkrper"/>
        <w:rPr>
          <w:lang w:eastAsia="de-CH"/>
        </w:rPr>
      </w:pPr>
      <w:r>
        <w:rPr>
          <w:lang w:eastAsia="de-CH"/>
        </w:rPr>
        <w:t xml:space="preserve">Erste Berechnungen </w:t>
      </w:r>
      <w:r w:rsidR="00C83F16">
        <w:rPr>
          <w:lang w:eastAsia="de-CH"/>
        </w:rPr>
        <w:t xml:space="preserve">ergeben </w:t>
      </w:r>
      <w:r>
        <w:rPr>
          <w:lang w:eastAsia="de-CH"/>
        </w:rPr>
        <w:t xml:space="preserve">folgende </w:t>
      </w:r>
      <w:r w:rsidRPr="00524C37">
        <w:rPr>
          <w:u w:val="single"/>
          <w:lang w:eastAsia="de-CH"/>
        </w:rPr>
        <w:t>jährliche</w:t>
      </w:r>
      <w:r>
        <w:rPr>
          <w:lang w:eastAsia="de-CH"/>
        </w:rPr>
        <w:t xml:space="preserve"> Annuitäten</w:t>
      </w:r>
      <w:r w:rsidR="00524C37">
        <w:rPr>
          <w:lang w:eastAsia="de-CH"/>
        </w:rPr>
        <w:t xml:space="preserve"> für die nächsten 10 Jahre</w:t>
      </w:r>
      <w:r>
        <w:rPr>
          <w:lang w:eastAsia="de-CH"/>
        </w:rPr>
        <w:t>:</w:t>
      </w:r>
    </w:p>
    <w:p w:rsidR="007F7E03" w:rsidRDefault="007F7E03" w:rsidP="009F7385">
      <w:pPr>
        <w:pStyle w:val="Textkrper"/>
        <w:rPr>
          <w:lang w:eastAsia="de-CH"/>
        </w:rPr>
      </w:pPr>
    </w:p>
    <w:p w:rsidR="00947192" w:rsidRDefault="007F7E03" w:rsidP="00524C37">
      <w:pPr>
        <w:pStyle w:val="Textkrper"/>
        <w:tabs>
          <w:tab w:val="right" w:pos="7938"/>
        </w:tabs>
        <w:rPr>
          <w:lang w:eastAsia="de-CH"/>
        </w:rPr>
      </w:pPr>
      <w:r>
        <w:rPr>
          <w:lang w:eastAsia="de-CH"/>
        </w:rPr>
        <w:t>Vollkapitalisierung (100%) mit Beibehaltung der Staatsgarantie:</w:t>
      </w:r>
      <w:r>
        <w:rPr>
          <w:lang w:eastAsia="de-CH"/>
        </w:rPr>
        <w:tab/>
        <w:t>6.2 Mio.</w:t>
      </w:r>
      <w:r>
        <w:rPr>
          <w:lang w:eastAsia="de-CH"/>
        </w:rPr>
        <w:br/>
        <w:t>Vollkapitalisierung (100%) mit 15% Wertschwankungsreserven</w:t>
      </w:r>
      <w:r w:rsidR="00524C37">
        <w:rPr>
          <w:lang w:eastAsia="de-CH"/>
        </w:rPr>
        <w:tab/>
        <w:t>10.2 Mio.</w:t>
      </w:r>
      <w:r>
        <w:rPr>
          <w:lang w:eastAsia="de-CH"/>
        </w:rPr>
        <w:br/>
        <w:t>und einem Wegfall der Staatsgarantie</w:t>
      </w:r>
      <w:r w:rsidR="009F7385" w:rsidRPr="009F7385">
        <w:rPr>
          <w:lang w:eastAsia="de-CH"/>
        </w:rPr>
        <w:br/>
      </w:r>
      <w:r w:rsidR="00913B2F">
        <w:rPr>
          <w:i/>
          <w:iCs/>
          <w:sz w:val="20"/>
        </w:rPr>
        <w:br/>
      </w:r>
      <w:r w:rsidR="00947192">
        <w:rPr>
          <w:lang w:eastAsia="de-CH"/>
        </w:rPr>
        <w:t xml:space="preserve">Die in dieser Vorlage beschriebene Lösung sieht </w:t>
      </w:r>
      <w:r w:rsidR="00C83F16">
        <w:rPr>
          <w:lang w:eastAsia="de-CH"/>
        </w:rPr>
        <w:t xml:space="preserve">demgegenüber </w:t>
      </w:r>
      <w:r w:rsidR="00947192">
        <w:rPr>
          <w:lang w:eastAsia="de-CH"/>
        </w:rPr>
        <w:t>jährliche Bruttobelastung</w:t>
      </w:r>
      <w:r w:rsidR="00947192">
        <w:rPr>
          <w:lang w:eastAsia="de-CH"/>
        </w:rPr>
        <w:t>s</w:t>
      </w:r>
      <w:r w:rsidR="00947192">
        <w:rPr>
          <w:lang w:eastAsia="de-CH"/>
        </w:rPr>
        <w:t>kosten von 2.8 Mio. für die nächsten 30 Jahre vor (vgl. Kapitel 9.3.3).</w:t>
      </w:r>
    </w:p>
    <w:p w:rsidR="00947192" w:rsidRDefault="00947192" w:rsidP="00524C37">
      <w:pPr>
        <w:pStyle w:val="Textkrper"/>
        <w:tabs>
          <w:tab w:val="right" w:pos="7938"/>
        </w:tabs>
        <w:rPr>
          <w:lang w:eastAsia="de-CH"/>
        </w:rPr>
      </w:pPr>
    </w:p>
    <w:p w:rsidR="00AB1E25" w:rsidRDefault="00947192" w:rsidP="00524C37">
      <w:pPr>
        <w:pStyle w:val="Textkrper"/>
        <w:tabs>
          <w:tab w:val="right" w:pos="7938"/>
        </w:tabs>
        <w:rPr>
          <w:lang w:eastAsia="de-CH"/>
        </w:rPr>
      </w:pPr>
      <w:r>
        <w:rPr>
          <w:lang w:eastAsia="de-CH"/>
        </w:rPr>
        <w:t xml:space="preserve">Eine Ausfinanzierung über einen Zeitraum von 10 Jahren ist für viele der angeschlossenen Körperschaften </w:t>
      </w:r>
      <w:r w:rsidR="00AB1E25">
        <w:rPr>
          <w:lang w:eastAsia="de-CH"/>
        </w:rPr>
        <w:t xml:space="preserve">mit Kompensationen in der laufenden Rechnung nicht realisierbar, zudem dürfte sich für einige angeschlossene Körperschaften eine Kapitalaufnahme als </w:t>
      </w:r>
      <w:r w:rsidR="00C83F16">
        <w:rPr>
          <w:lang w:eastAsia="de-CH"/>
        </w:rPr>
        <w:t xml:space="preserve">schwierig </w:t>
      </w:r>
      <w:r w:rsidR="00AB1E25">
        <w:rPr>
          <w:lang w:eastAsia="de-CH"/>
        </w:rPr>
        <w:t>herausstellen.</w:t>
      </w:r>
    </w:p>
    <w:p w:rsidR="00AB1E25" w:rsidRDefault="00AB1E25" w:rsidP="00524C37">
      <w:pPr>
        <w:pStyle w:val="Textkrper"/>
        <w:tabs>
          <w:tab w:val="right" w:pos="7938"/>
        </w:tabs>
        <w:rPr>
          <w:lang w:eastAsia="de-CH"/>
        </w:rPr>
      </w:pPr>
    </w:p>
    <w:p w:rsidR="00434B7B" w:rsidRDefault="00AB1E25" w:rsidP="00524C37">
      <w:pPr>
        <w:pStyle w:val="Textkrper"/>
        <w:tabs>
          <w:tab w:val="right" w:pos="7938"/>
        </w:tabs>
        <w:rPr>
          <w:lang w:eastAsia="de-CH"/>
        </w:rPr>
      </w:pPr>
      <w:r>
        <w:rPr>
          <w:lang w:eastAsia="de-CH"/>
        </w:rPr>
        <w:t xml:space="preserve">Mit der Ausfinanzierung innert 10 Jahren </w:t>
      </w:r>
      <w:r w:rsidR="00947192">
        <w:rPr>
          <w:lang w:eastAsia="de-CH"/>
        </w:rPr>
        <w:t xml:space="preserve">würde die Stadt Olten zwar bereits nach 10 Jahren von einer erheblichen Entlastung in der laufenden Rechnung profitieren, die Mehrkosten in den nächsten </w:t>
      </w:r>
      <w:r>
        <w:rPr>
          <w:lang w:eastAsia="de-CH"/>
        </w:rPr>
        <w:t xml:space="preserve">10 Jahren könnten jedoch nur durch eine erhebliche Mehrbelastung der laufenden Rechnung und </w:t>
      </w:r>
      <w:r w:rsidR="00434B7B">
        <w:rPr>
          <w:lang w:eastAsia="de-CH"/>
        </w:rPr>
        <w:t xml:space="preserve">vorübergehend </w:t>
      </w:r>
      <w:r>
        <w:rPr>
          <w:lang w:eastAsia="de-CH"/>
        </w:rPr>
        <w:t>zusätzlichen Steuermitteln bewerkstelligen lassen.</w:t>
      </w:r>
      <w:r w:rsidR="007D0908">
        <w:rPr>
          <w:lang w:eastAsia="de-CH"/>
        </w:rPr>
        <w:t xml:space="preserve"> Eine paritätische Lösung mit einer Amortisationszeit von nur 10 Jahren würde zudem auch auf Arbeitnehmerseite zu erheblichen Leistungskürzungen oder Zusatzbeiträgen führen.</w:t>
      </w:r>
    </w:p>
    <w:p w:rsidR="00434B7B" w:rsidRDefault="00434B7B" w:rsidP="00524C37">
      <w:pPr>
        <w:pStyle w:val="Textkrper"/>
        <w:tabs>
          <w:tab w:val="right" w:pos="7938"/>
        </w:tabs>
        <w:rPr>
          <w:lang w:eastAsia="de-CH"/>
        </w:rPr>
      </w:pPr>
    </w:p>
    <w:p w:rsidR="00434B7B" w:rsidRDefault="00434B7B" w:rsidP="00524C37">
      <w:pPr>
        <w:pStyle w:val="Textkrper"/>
        <w:tabs>
          <w:tab w:val="right" w:pos="7938"/>
        </w:tabs>
        <w:rPr>
          <w:lang w:eastAsia="de-CH"/>
        </w:rPr>
      </w:pPr>
      <w:r>
        <w:rPr>
          <w:lang w:eastAsia="de-CH"/>
        </w:rPr>
        <w:t>Im Weiteren müss</w:t>
      </w:r>
      <w:r w:rsidR="00944D9C">
        <w:rPr>
          <w:lang w:eastAsia="de-CH"/>
        </w:rPr>
        <w:t>t</w:t>
      </w:r>
      <w:r>
        <w:rPr>
          <w:lang w:eastAsia="de-CH"/>
        </w:rPr>
        <w:t>en die erheblichen Zusatzmittel wie bereits erwähnt kurzfristig in gewinnbringende Anlagen investiert werden</w:t>
      </w:r>
      <w:r w:rsidR="00944D9C">
        <w:rPr>
          <w:lang w:eastAsia="de-CH"/>
        </w:rPr>
        <w:t>,</w:t>
      </w:r>
      <w:r>
        <w:rPr>
          <w:lang w:eastAsia="de-CH"/>
        </w:rPr>
        <w:t xml:space="preserve"> was ein zusätzliches Risiko mit sich bringt.</w:t>
      </w:r>
    </w:p>
    <w:p w:rsidR="00434B7B" w:rsidRDefault="00434B7B" w:rsidP="00524C37">
      <w:pPr>
        <w:pStyle w:val="Textkrper"/>
        <w:tabs>
          <w:tab w:val="right" w:pos="7938"/>
        </w:tabs>
        <w:rPr>
          <w:lang w:eastAsia="de-CH"/>
        </w:rPr>
      </w:pPr>
    </w:p>
    <w:p w:rsidR="00434B7B" w:rsidRDefault="00434B7B" w:rsidP="00524C37">
      <w:pPr>
        <w:pStyle w:val="Textkrper"/>
        <w:tabs>
          <w:tab w:val="right" w:pos="7938"/>
        </w:tabs>
        <w:rPr>
          <w:lang w:eastAsia="de-CH"/>
        </w:rPr>
      </w:pPr>
      <w:r>
        <w:rPr>
          <w:lang w:eastAsia="de-CH"/>
        </w:rPr>
        <w:t>Zudem trägt die vorgeschlagene Lösung mit einer Ausfinanzierung über 30 Jahre mit einem garantierten Zinssatz zur Stabilisierung der Kasse bei.</w:t>
      </w:r>
    </w:p>
    <w:p w:rsidR="00434B7B" w:rsidRDefault="00434B7B" w:rsidP="00524C37">
      <w:pPr>
        <w:pStyle w:val="Textkrper"/>
        <w:tabs>
          <w:tab w:val="right" w:pos="7938"/>
        </w:tabs>
        <w:rPr>
          <w:lang w:eastAsia="de-CH"/>
        </w:rPr>
      </w:pPr>
    </w:p>
    <w:p w:rsidR="00C83F16" w:rsidRDefault="00C83F16">
      <w:pPr>
        <w:overflowPunct/>
        <w:autoSpaceDE/>
        <w:autoSpaceDN/>
        <w:adjustRightInd/>
        <w:textAlignment w:val="auto"/>
        <w:rPr>
          <w:b/>
          <w:lang w:eastAsia="de-CH"/>
        </w:rPr>
      </w:pPr>
      <w:r>
        <w:rPr>
          <w:b/>
          <w:lang w:eastAsia="de-CH"/>
        </w:rPr>
        <w:br w:type="page"/>
      </w:r>
    </w:p>
    <w:p w:rsidR="00434B7B" w:rsidRPr="00434B7B" w:rsidRDefault="00434B7B" w:rsidP="00434B7B">
      <w:pPr>
        <w:pStyle w:val="Textkrper"/>
        <w:rPr>
          <w:b/>
          <w:lang w:eastAsia="de-CH"/>
        </w:rPr>
      </w:pPr>
      <w:r w:rsidRPr="00434B7B">
        <w:rPr>
          <w:b/>
          <w:lang w:eastAsia="de-CH"/>
        </w:rPr>
        <w:t>Erhöhung der Wertschwankungsreserve</w:t>
      </w:r>
      <w:r w:rsidR="007D0908">
        <w:rPr>
          <w:b/>
          <w:lang w:eastAsia="de-CH"/>
        </w:rPr>
        <w:t xml:space="preserve"> (Antrag der Arbeitnehmerorganisationen)</w:t>
      </w:r>
      <w:r w:rsidR="0020578F">
        <w:rPr>
          <w:b/>
          <w:lang w:eastAsia="de-CH"/>
        </w:rPr>
        <w:br/>
      </w:r>
    </w:p>
    <w:p w:rsidR="009F7385" w:rsidRDefault="00434B7B" w:rsidP="00524C37">
      <w:pPr>
        <w:pStyle w:val="Textkrper"/>
        <w:tabs>
          <w:tab w:val="right" w:pos="7938"/>
        </w:tabs>
        <w:rPr>
          <w:lang w:eastAsia="de-CH"/>
        </w:rPr>
      </w:pPr>
      <w:r w:rsidRPr="00434B7B">
        <w:rPr>
          <w:lang w:eastAsia="de-CH"/>
        </w:rPr>
        <w:t>Nebst ih</w:t>
      </w:r>
      <w:r>
        <w:rPr>
          <w:lang w:eastAsia="de-CH"/>
        </w:rPr>
        <w:t>rer Forderung nach der Beibehaltung des Leistungsprimates haben die Arbeitnehmerorganisationen eine Wertschwankungsreserve von über 20% ge</w:t>
      </w:r>
      <w:r w:rsidR="00944D9C">
        <w:rPr>
          <w:lang w:eastAsia="de-CH"/>
        </w:rPr>
        <w:t>wünsch</w:t>
      </w:r>
      <w:r>
        <w:rPr>
          <w:lang w:eastAsia="de-CH"/>
        </w:rPr>
        <w:t xml:space="preserve">t. Dies würde die Kasse zwar zusätzlich </w:t>
      </w:r>
      <w:r w:rsidR="00C83F16">
        <w:rPr>
          <w:lang w:eastAsia="de-CH"/>
        </w:rPr>
        <w:t>stärken</w:t>
      </w:r>
      <w:r>
        <w:rPr>
          <w:lang w:eastAsia="de-CH"/>
        </w:rPr>
        <w:t xml:space="preserve">, bedeutet aber eine finanzielle Mehrbelastung. Die in dieser Vorlage berechnete Parität könnte nicht mehr eingehalten werden. Sollte die Parität weiterhin eingehalten werden müssen, wären die zusätzlichen Kosten zwischen </w:t>
      </w:r>
      <w:proofErr w:type="spellStart"/>
      <w:r>
        <w:rPr>
          <w:lang w:eastAsia="de-CH"/>
        </w:rPr>
        <w:t>Arbeitnehmenden</w:t>
      </w:r>
      <w:proofErr w:type="spellEnd"/>
      <w:r>
        <w:rPr>
          <w:lang w:eastAsia="de-CH"/>
        </w:rPr>
        <w:t xml:space="preserve"> und </w:t>
      </w:r>
      <w:proofErr w:type="spellStart"/>
      <w:r>
        <w:rPr>
          <w:lang w:eastAsia="de-CH"/>
        </w:rPr>
        <w:t>Arbeitgebenden</w:t>
      </w:r>
      <w:proofErr w:type="spellEnd"/>
      <w:r>
        <w:rPr>
          <w:lang w:eastAsia="de-CH"/>
        </w:rPr>
        <w:t xml:space="preserve"> aufzuteilen, was auch auf Arbeitnehmerseite zu einem Leistungsabbau oder zu zusätzlichen Lohnabzügen führen würde.</w:t>
      </w:r>
    </w:p>
    <w:p w:rsidR="00C83F16" w:rsidRDefault="00C83F16" w:rsidP="00CC6DCD">
      <w:pPr>
        <w:pStyle w:val="Textkrper"/>
        <w:rPr>
          <w:b/>
          <w:lang w:eastAsia="de-CH"/>
        </w:rPr>
      </w:pPr>
    </w:p>
    <w:p w:rsidR="00CC6DCD" w:rsidRDefault="00CC6DCD" w:rsidP="00CC6DCD">
      <w:pPr>
        <w:pStyle w:val="Textkrper"/>
        <w:rPr>
          <w:b/>
          <w:lang w:eastAsia="de-CH"/>
        </w:rPr>
      </w:pPr>
      <w:r w:rsidRPr="00CC6DCD">
        <w:rPr>
          <w:b/>
          <w:lang w:eastAsia="de-CH"/>
        </w:rPr>
        <w:t>Erhöhung des Rentenalters</w:t>
      </w:r>
      <w:r w:rsidR="0020578F">
        <w:rPr>
          <w:b/>
          <w:lang w:eastAsia="de-CH"/>
        </w:rPr>
        <w:t xml:space="preserve"> </w:t>
      </w:r>
      <w:r w:rsidR="006674A1">
        <w:rPr>
          <w:b/>
          <w:lang w:eastAsia="de-CH"/>
        </w:rPr>
        <w:t xml:space="preserve">auf 64 </w:t>
      </w:r>
      <w:r w:rsidR="0020578F">
        <w:rPr>
          <w:b/>
          <w:lang w:eastAsia="de-CH"/>
        </w:rPr>
        <w:t>(Antrag der Grünen)</w:t>
      </w:r>
      <w:r w:rsidRPr="00CC6DCD">
        <w:rPr>
          <w:b/>
          <w:lang w:eastAsia="de-CH"/>
        </w:rPr>
        <w:br/>
      </w:r>
    </w:p>
    <w:p w:rsidR="00CC6DCD" w:rsidRPr="00CC6DCD" w:rsidRDefault="00CC6DCD" w:rsidP="00CC6DCD">
      <w:pPr>
        <w:pStyle w:val="Textkrper"/>
        <w:rPr>
          <w:lang w:eastAsia="de-CH"/>
        </w:rPr>
      </w:pPr>
      <w:r>
        <w:rPr>
          <w:lang w:eastAsia="de-CH"/>
        </w:rPr>
        <w:t>Die Grünen beantragen in ihrer Vernehmlassung die Festsetzung des Rücktrittsalters auf 64 Jahre (heutiges Frauenrücktrittsalter</w:t>
      </w:r>
      <w:r w:rsidR="002B6C89">
        <w:rPr>
          <w:lang w:eastAsia="de-CH"/>
        </w:rPr>
        <w:t xml:space="preserve"> AHV</w:t>
      </w:r>
      <w:r>
        <w:rPr>
          <w:lang w:eastAsia="de-CH"/>
        </w:rPr>
        <w:t>) und nicht wie in der Vorlage vorgesehen auf 65 Jahre. Grundsätzlich muss von Gesetzes wegen das Rücktrittsalter für Mann und Frau gleich sein.</w:t>
      </w:r>
      <w:r w:rsidR="00944D9C">
        <w:rPr>
          <w:lang w:eastAsia="de-CH"/>
        </w:rPr>
        <w:t xml:space="preserve"> </w:t>
      </w:r>
      <w:r>
        <w:rPr>
          <w:lang w:eastAsia="de-CH"/>
        </w:rPr>
        <w:t>Aktuelle Tendenzen auch in aktuellen oder kürzlich abgeschlossenen Gesetzesrevisi</w:t>
      </w:r>
      <w:r>
        <w:rPr>
          <w:lang w:eastAsia="de-CH"/>
        </w:rPr>
        <w:t>o</w:t>
      </w:r>
      <w:r>
        <w:rPr>
          <w:lang w:eastAsia="de-CH"/>
        </w:rPr>
        <w:t>nen zeigen klar den Trend zum Rücktrittsalter 65. Mit einer Festlegung auf das Rücktrittsalter 64 würde die in der Vorlage berechnete P</w:t>
      </w:r>
      <w:r w:rsidR="00944D9C">
        <w:rPr>
          <w:lang w:eastAsia="de-CH"/>
        </w:rPr>
        <w:t>arität nicht mehr funktionieren</w:t>
      </w:r>
      <w:r>
        <w:rPr>
          <w:lang w:eastAsia="de-CH"/>
        </w:rPr>
        <w:t xml:space="preserve"> und der durch die Arbeitnehmer erbrachte Leistungsverzicht müsste </w:t>
      </w:r>
      <w:r w:rsidR="002B6C89">
        <w:rPr>
          <w:lang w:eastAsia="de-CH"/>
        </w:rPr>
        <w:t xml:space="preserve">mittels einer anderen Finanzierung durch die </w:t>
      </w:r>
      <w:proofErr w:type="spellStart"/>
      <w:r w:rsidR="002B6C89">
        <w:rPr>
          <w:lang w:eastAsia="de-CH"/>
        </w:rPr>
        <w:t>Arbeitnehmenden</w:t>
      </w:r>
      <w:proofErr w:type="spellEnd"/>
      <w:r w:rsidR="002B6C89">
        <w:rPr>
          <w:lang w:eastAsia="de-CH"/>
        </w:rPr>
        <w:t xml:space="preserve"> sichergestellt werden.</w:t>
      </w:r>
      <w:r>
        <w:rPr>
          <w:lang w:eastAsia="de-CH"/>
        </w:rPr>
        <w:t xml:space="preserve"> </w:t>
      </w:r>
    </w:p>
    <w:p w:rsidR="00CC6DCD" w:rsidRDefault="00CC6DCD" w:rsidP="00524C37">
      <w:pPr>
        <w:pStyle w:val="Textkrper"/>
        <w:tabs>
          <w:tab w:val="right" w:pos="7938"/>
        </w:tabs>
        <w:rPr>
          <w:lang w:eastAsia="de-CH"/>
        </w:rPr>
      </w:pPr>
    </w:p>
    <w:p w:rsidR="007D0908" w:rsidRPr="00434B7B" w:rsidRDefault="007D0908" w:rsidP="007D0908">
      <w:pPr>
        <w:pStyle w:val="Textkrper"/>
        <w:rPr>
          <w:b/>
          <w:lang w:eastAsia="de-CH"/>
        </w:rPr>
      </w:pPr>
      <w:r>
        <w:rPr>
          <w:b/>
          <w:lang w:eastAsia="de-CH"/>
        </w:rPr>
        <w:t>Entscheid</w:t>
      </w:r>
      <w:r w:rsidR="000B3753">
        <w:rPr>
          <w:b/>
          <w:lang w:eastAsia="de-CH"/>
        </w:rPr>
        <w:t>e</w:t>
      </w:r>
      <w:r>
        <w:rPr>
          <w:b/>
          <w:lang w:eastAsia="de-CH"/>
        </w:rPr>
        <w:t xml:space="preserve"> der Pensionskommission</w:t>
      </w:r>
    </w:p>
    <w:p w:rsidR="0020578F" w:rsidRDefault="007D0908">
      <w:pPr>
        <w:pStyle w:val="Textkrper"/>
        <w:tabs>
          <w:tab w:val="left" w:pos="284"/>
          <w:tab w:val="right" w:pos="7938"/>
        </w:tabs>
        <w:spacing w:after="120"/>
        <w:rPr>
          <w:lang w:eastAsia="de-CH"/>
        </w:rPr>
      </w:pPr>
      <w:r>
        <w:rPr>
          <w:lang w:eastAsia="de-CH"/>
        </w:rPr>
        <w:t xml:space="preserve">Die </w:t>
      </w:r>
      <w:proofErr w:type="spellStart"/>
      <w:r>
        <w:rPr>
          <w:lang w:eastAsia="de-CH"/>
        </w:rPr>
        <w:t>Vernehmlassung</w:t>
      </w:r>
      <w:r w:rsidR="000B3753">
        <w:rPr>
          <w:lang w:eastAsia="de-CH"/>
        </w:rPr>
        <w:t>sergebnisse</w:t>
      </w:r>
      <w:proofErr w:type="spellEnd"/>
      <w:r>
        <w:rPr>
          <w:lang w:eastAsia="de-CH"/>
        </w:rPr>
        <w:t xml:space="preserve"> wurde</w:t>
      </w:r>
      <w:r w:rsidR="000B3753">
        <w:rPr>
          <w:lang w:eastAsia="de-CH"/>
        </w:rPr>
        <w:t>n</w:t>
      </w:r>
      <w:r>
        <w:rPr>
          <w:lang w:eastAsia="de-CH"/>
        </w:rPr>
        <w:t xml:space="preserve"> an der Pensionskommissionssitzung vom 11. Juni 2013 behandelt und die einzelnen Vernehmlassungen diskutiert.</w:t>
      </w:r>
      <w:r>
        <w:rPr>
          <w:lang w:eastAsia="de-CH"/>
        </w:rPr>
        <w:br/>
      </w:r>
      <w:r>
        <w:rPr>
          <w:lang w:eastAsia="de-CH"/>
        </w:rPr>
        <w:br/>
        <w:t>Die Pensionskommission hat mi</w:t>
      </w:r>
      <w:r w:rsidR="00944D9C">
        <w:rPr>
          <w:lang w:eastAsia="de-CH"/>
        </w:rPr>
        <w:t>t</w:t>
      </w:r>
      <w:r>
        <w:rPr>
          <w:lang w:eastAsia="de-CH"/>
        </w:rPr>
        <w:t xml:space="preserve"> einer Mehrh</w:t>
      </w:r>
      <w:r w:rsidR="000B3753">
        <w:rPr>
          <w:lang w:eastAsia="de-CH"/>
        </w:rPr>
        <w:t>eit folgende Beschlüsse gefasst:</w:t>
      </w:r>
    </w:p>
    <w:p w:rsidR="0020578F" w:rsidRDefault="00944D9C">
      <w:pPr>
        <w:pStyle w:val="Textkrper"/>
        <w:numPr>
          <w:ilvl w:val="0"/>
          <w:numId w:val="19"/>
        </w:numPr>
        <w:tabs>
          <w:tab w:val="clear" w:pos="720"/>
          <w:tab w:val="num" w:pos="567"/>
        </w:tabs>
        <w:spacing w:before="120"/>
        <w:ind w:left="567" w:hanging="567"/>
        <w:rPr>
          <w:lang w:eastAsia="de-CH"/>
        </w:rPr>
      </w:pPr>
      <w:r>
        <w:rPr>
          <w:lang w:eastAsia="de-CH"/>
        </w:rPr>
        <w:t xml:space="preserve">Es wird ein </w:t>
      </w:r>
      <w:proofErr w:type="spellStart"/>
      <w:r>
        <w:rPr>
          <w:lang w:eastAsia="de-CH"/>
        </w:rPr>
        <w:t>Primat</w:t>
      </w:r>
      <w:r w:rsidR="00CC6DCD">
        <w:rPr>
          <w:lang w:eastAsia="de-CH"/>
        </w:rPr>
        <w:t>wechsel</w:t>
      </w:r>
      <w:proofErr w:type="spellEnd"/>
      <w:r w:rsidR="00CC6DCD">
        <w:rPr>
          <w:lang w:eastAsia="de-CH"/>
        </w:rPr>
        <w:t xml:space="preserve"> vorgenommen. Neu soll</w:t>
      </w:r>
      <w:r w:rsidR="00C83F16">
        <w:rPr>
          <w:lang w:eastAsia="de-CH"/>
        </w:rPr>
        <w:t>en die Altersleistungen im System des Beitragsprimats versichert sein.</w:t>
      </w:r>
    </w:p>
    <w:p w:rsidR="0020578F" w:rsidRDefault="00CC6DCD">
      <w:pPr>
        <w:pStyle w:val="Textkrper"/>
        <w:numPr>
          <w:ilvl w:val="0"/>
          <w:numId w:val="19"/>
        </w:numPr>
        <w:tabs>
          <w:tab w:val="clear" w:pos="720"/>
          <w:tab w:val="num" w:pos="567"/>
        </w:tabs>
        <w:spacing w:before="120"/>
        <w:ind w:left="567" w:hanging="567"/>
        <w:rPr>
          <w:lang w:eastAsia="de-CH"/>
        </w:rPr>
      </w:pPr>
      <w:r>
        <w:rPr>
          <w:lang w:eastAsia="de-CH"/>
        </w:rPr>
        <w:t xml:space="preserve">Das Rentenalter </w:t>
      </w:r>
      <w:r w:rsidR="002B6C89">
        <w:rPr>
          <w:lang w:eastAsia="de-CH"/>
        </w:rPr>
        <w:t>wird von</w:t>
      </w:r>
      <w:r>
        <w:rPr>
          <w:lang w:eastAsia="de-CH"/>
        </w:rPr>
        <w:t xml:space="preserve"> 63 auf 65 Jahre erhöht</w:t>
      </w:r>
      <w:r w:rsidR="002B6C89">
        <w:rPr>
          <w:lang w:eastAsia="de-CH"/>
        </w:rPr>
        <w:t>.</w:t>
      </w:r>
    </w:p>
    <w:p w:rsidR="0020578F" w:rsidRDefault="00CC6DCD">
      <w:pPr>
        <w:pStyle w:val="Textkrper"/>
        <w:numPr>
          <w:ilvl w:val="0"/>
          <w:numId w:val="19"/>
        </w:numPr>
        <w:tabs>
          <w:tab w:val="clear" w:pos="720"/>
          <w:tab w:val="num" w:pos="567"/>
        </w:tabs>
        <w:spacing w:before="120"/>
        <w:ind w:left="567" w:hanging="567"/>
        <w:rPr>
          <w:lang w:eastAsia="de-CH"/>
        </w:rPr>
      </w:pPr>
      <w:r>
        <w:rPr>
          <w:lang w:eastAsia="de-CH"/>
        </w:rPr>
        <w:t>Am System der Teilkapitalisierung mit einem Ausgangsdeckungsgrad von 80% zuzüglich</w:t>
      </w:r>
      <w:r w:rsidR="00C83F16">
        <w:rPr>
          <w:lang w:eastAsia="de-CH"/>
        </w:rPr>
        <w:t xml:space="preserve"> </w:t>
      </w:r>
      <w:bookmarkStart w:id="102" w:name="_GoBack"/>
      <w:bookmarkEnd w:id="102"/>
      <w:r>
        <w:rPr>
          <w:lang w:eastAsia="de-CH"/>
        </w:rPr>
        <w:t>einer Wertschwankungsreserve von 20% wird festgehalten</w:t>
      </w:r>
      <w:r w:rsidR="002B6C89">
        <w:rPr>
          <w:lang w:eastAsia="de-CH"/>
        </w:rPr>
        <w:t>.</w:t>
      </w:r>
      <w:r w:rsidR="006941C2">
        <w:rPr>
          <w:lang w:eastAsia="de-CH"/>
        </w:rPr>
        <w:br/>
      </w:r>
    </w:p>
    <w:p w:rsidR="002B6C89" w:rsidRDefault="002B6C89" w:rsidP="002B6C89">
      <w:pPr>
        <w:pStyle w:val="Textkrper"/>
        <w:tabs>
          <w:tab w:val="left" w:pos="284"/>
          <w:tab w:val="right" w:pos="7938"/>
        </w:tabs>
        <w:ind w:left="720"/>
        <w:rPr>
          <w:lang w:eastAsia="de-CH"/>
        </w:rPr>
      </w:pPr>
    </w:p>
    <w:p w:rsidR="007D0908" w:rsidRPr="00434B7B" w:rsidRDefault="007D0908" w:rsidP="00524C37">
      <w:pPr>
        <w:pStyle w:val="Textkrper"/>
        <w:tabs>
          <w:tab w:val="right" w:pos="7938"/>
        </w:tabs>
        <w:rPr>
          <w:lang w:eastAsia="de-CH"/>
        </w:rPr>
      </w:pPr>
    </w:p>
    <w:p w:rsidR="00644911" w:rsidRPr="001555C8" w:rsidRDefault="00086991" w:rsidP="00C3664B">
      <w:pPr>
        <w:pStyle w:val="berschrift1"/>
        <w:numPr>
          <w:ilvl w:val="0"/>
          <w:numId w:val="2"/>
        </w:numPr>
        <w:tabs>
          <w:tab w:val="clear" w:pos="567"/>
          <w:tab w:val="left" w:pos="992"/>
        </w:tabs>
      </w:pPr>
      <w:bookmarkStart w:id="103" w:name="_Toc327346448"/>
      <w:bookmarkStart w:id="104" w:name="_Toc328050185"/>
      <w:r w:rsidRPr="001555C8">
        <w:rPr>
          <w:lang w:eastAsia="de-CH"/>
        </w:rPr>
        <w:br w:type="page"/>
      </w:r>
      <w:bookmarkStart w:id="105" w:name="_Toc358786223"/>
      <w:r w:rsidR="000A4E83" w:rsidRPr="001555C8">
        <w:t>Fazit</w:t>
      </w:r>
      <w:bookmarkEnd w:id="103"/>
      <w:bookmarkEnd w:id="104"/>
      <w:bookmarkEnd w:id="105"/>
    </w:p>
    <w:p w:rsidR="000A4E83" w:rsidRPr="001555C8" w:rsidRDefault="00D808B0" w:rsidP="000A4E83">
      <w:pPr>
        <w:pStyle w:val="Textkrper"/>
        <w:rPr>
          <w:lang w:eastAsia="de-CH"/>
        </w:rPr>
      </w:pPr>
      <w:r w:rsidRPr="001555C8">
        <w:rPr>
          <w:lang w:eastAsia="de-CH"/>
        </w:rPr>
        <w:t xml:space="preserve">Der </w:t>
      </w:r>
      <w:r w:rsidR="000B3753">
        <w:rPr>
          <w:lang w:eastAsia="de-CH"/>
        </w:rPr>
        <w:t xml:space="preserve">vom Stadtrat unterstützte </w:t>
      </w:r>
      <w:r w:rsidRPr="001555C8">
        <w:rPr>
          <w:lang w:eastAsia="de-CH"/>
        </w:rPr>
        <w:t>Vorschlag de</w:t>
      </w:r>
      <w:r w:rsidR="000B3753">
        <w:rPr>
          <w:lang w:eastAsia="de-CH"/>
        </w:rPr>
        <w:t>r Pensionskommission</w:t>
      </w:r>
      <w:r w:rsidRPr="001555C8">
        <w:rPr>
          <w:lang w:eastAsia="de-CH"/>
        </w:rPr>
        <w:t xml:space="preserve"> für </w:t>
      </w:r>
      <w:r w:rsidR="00EB07D6" w:rsidRPr="001555C8">
        <w:rPr>
          <w:lang w:eastAsia="de-CH"/>
        </w:rPr>
        <w:t>die neuen Statuten der Pensionskasse</w:t>
      </w:r>
      <w:r w:rsidR="00152C40" w:rsidRPr="001555C8">
        <w:rPr>
          <w:lang w:eastAsia="de-CH"/>
        </w:rPr>
        <w:t xml:space="preserve"> </w:t>
      </w:r>
      <w:r w:rsidRPr="001555C8">
        <w:rPr>
          <w:lang w:eastAsia="de-CH"/>
        </w:rPr>
        <w:t xml:space="preserve">basiert auf den </w:t>
      </w:r>
      <w:r w:rsidR="000A4E83" w:rsidRPr="001555C8">
        <w:rPr>
          <w:lang w:eastAsia="de-CH"/>
        </w:rPr>
        <w:t>nachfolgenden Eckwerte</w:t>
      </w:r>
      <w:r w:rsidRPr="001555C8">
        <w:rPr>
          <w:lang w:eastAsia="de-CH"/>
        </w:rPr>
        <w:t>n</w:t>
      </w:r>
      <w:r w:rsidR="000A4E83" w:rsidRPr="001555C8">
        <w:rPr>
          <w:lang w:eastAsia="de-CH"/>
        </w:rPr>
        <w:t>:</w:t>
      </w:r>
    </w:p>
    <w:p w:rsidR="00152C40" w:rsidRPr="001555C8" w:rsidRDefault="00152C40" w:rsidP="00786C73">
      <w:pPr>
        <w:pStyle w:val="Textkrper"/>
        <w:numPr>
          <w:ilvl w:val="0"/>
          <w:numId w:val="19"/>
        </w:numPr>
        <w:tabs>
          <w:tab w:val="clear" w:pos="720"/>
          <w:tab w:val="num" w:pos="567"/>
        </w:tabs>
        <w:spacing w:before="120"/>
        <w:ind w:left="567" w:hanging="567"/>
        <w:rPr>
          <w:lang w:eastAsia="de-CH"/>
        </w:rPr>
      </w:pPr>
      <w:r w:rsidRPr="001555C8">
        <w:rPr>
          <w:lang w:eastAsia="de-CH"/>
        </w:rPr>
        <w:t>Die Altersleistungen werden neu im Beitragsprimat versichert.</w:t>
      </w:r>
    </w:p>
    <w:p w:rsidR="000A4E83" w:rsidRPr="001555C8" w:rsidRDefault="000A4E83"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Die </w:t>
      </w:r>
      <w:r w:rsidR="00D9622D" w:rsidRPr="001555C8">
        <w:rPr>
          <w:lang w:eastAsia="de-CH"/>
        </w:rPr>
        <w:t>Planbeiträge</w:t>
      </w:r>
      <w:r w:rsidRPr="001555C8">
        <w:rPr>
          <w:lang w:eastAsia="de-CH"/>
        </w:rPr>
        <w:t xml:space="preserve"> </w:t>
      </w:r>
      <w:r w:rsidR="00607D4C" w:rsidRPr="001555C8">
        <w:rPr>
          <w:lang w:eastAsia="de-CH"/>
        </w:rPr>
        <w:t xml:space="preserve">fallen </w:t>
      </w:r>
      <w:r w:rsidRPr="001555C8">
        <w:rPr>
          <w:lang w:eastAsia="de-CH"/>
        </w:rPr>
        <w:t xml:space="preserve">insgesamt </w:t>
      </w:r>
      <w:r w:rsidR="00D804FA" w:rsidRPr="001555C8">
        <w:rPr>
          <w:lang w:eastAsia="de-CH"/>
        </w:rPr>
        <w:t>leicht tiefer aus</w:t>
      </w:r>
      <w:r w:rsidR="00D9622D" w:rsidRPr="001555C8">
        <w:rPr>
          <w:lang w:eastAsia="de-CH"/>
        </w:rPr>
        <w:t xml:space="preserve"> (rund CHF 0.5 Mio</w:t>
      </w:r>
      <w:r w:rsidR="00944D9C">
        <w:rPr>
          <w:lang w:eastAsia="de-CH"/>
        </w:rPr>
        <w:t>.</w:t>
      </w:r>
      <w:r w:rsidR="00D9622D" w:rsidRPr="001555C8">
        <w:rPr>
          <w:lang w:eastAsia="de-CH"/>
        </w:rPr>
        <w:t>, davon CHF 0.4 Mio</w:t>
      </w:r>
      <w:r w:rsidR="00944D9C">
        <w:rPr>
          <w:lang w:eastAsia="de-CH"/>
        </w:rPr>
        <w:t>.</w:t>
      </w:r>
      <w:r w:rsidR="00D9622D" w:rsidRPr="001555C8">
        <w:rPr>
          <w:lang w:eastAsia="de-CH"/>
        </w:rPr>
        <w:t xml:space="preserve"> beim Arbeitgeber) </w:t>
      </w:r>
      <w:r w:rsidR="00D804FA" w:rsidRPr="001555C8">
        <w:rPr>
          <w:lang w:eastAsia="de-CH"/>
        </w:rPr>
        <w:t xml:space="preserve">als </w:t>
      </w:r>
      <w:r w:rsidRPr="001555C8">
        <w:rPr>
          <w:lang w:eastAsia="de-CH"/>
        </w:rPr>
        <w:t xml:space="preserve">heute, der Aufteilungsschlüssel </w:t>
      </w:r>
      <w:r w:rsidR="00595C16" w:rsidRPr="001555C8">
        <w:rPr>
          <w:lang w:eastAsia="de-CH"/>
        </w:rPr>
        <w:t xml:space="preserve">der ordentlichen Beiträge </w:t>
      </w:r>
      <w:proofErr w:type="spellStart"/>
      <w:r w:rsidRPr="001555C8">
        <w:rPr>
          <w:lang w:eastAsia="de-CH"/>
        </w:rPr>
        <w:t>Arbeitnehmende</w:t>
      </w:r>
      <w:proofErr w:type="spellEnd"/>
      <w:r w:rsidRPr="001555C8">
        <w:rPr>
          <w:lang w:eastAsia="de-CH"/>
        </w:rPr>
        <w:t xml:space="preserve"> – Arbeitgeber </w:t>
      </w:r>
      <w:r w:rsidR="00607D4C" w:rsidRPr="001555C8">
        <w:rPr>
          <w:lang w:eastAsia="de-CH"/>
        </w:rPr>
        <w:t xml:space="preserve">wird </w:t>
      </w:r>
      <w:r w:rsidRPr="001555C8">
        <w:rPr>
          <w:lang w:eastAsia="de-CH"/>
        </w:rPr>
        <w:t>beibehalten.</w:t>
      </w:r>
    </w:p>
    <w:p w:rsidR="000A4E83" w:rsidRPr="001555C8" w:rsidRDefault="000A4E83" w:rsidP="00607D4C">
      <w:pPr>
        <w:pStyle w:val="Textkrper"/>
        <w:numPr>
          <w:ilvl w:val="0"/>
          <w:numId w:val="19"/>
        </w:numPr>
        <w:tabs>
          <w:tab w:val="clear" w:pos="720"/>
          <w:tab w:val="num" w:pos="567"/>
        </w:tabs>
        <w:spacing w:before="120"/>
        <w:ind w:left="567" w:hanging="567"/>
        <w:rPr>
          <w:lang w:eastAsia="de-CH"/>
        </w:rPr>
      </w:pPr>
      <w:r w:rsidRPr="001555C8">
        <w:rPr>
          <w:lang w:eastAsia="de-CH"/>
        </w:rPr>
        <w:t xml:space="preserve">Es </w:t>
      </w:r>
      <w:r w:rsidR="00607D4C" w:rsidRPr="001555C8">
        <w:rPr>
          <w:lang w:eastAsia="de-CH"/>
        </w:rPr>
        <w:t xml:space="preserve">wird </w:t>
      </w:r>
      <w:r w:rsidRPr="001555C8">
        <w:rPr>
          <w:lang w:eastAsia="de-CH"/>
        </w:rPr>
        <w:t>von einem technischen Zinssatz von 3</w:t>
      </w:r>
      <w:r w:rsidR="00043521" w:rsidRPr="001555C8">
        <w:rPr>
          <w:lang w:eastAsia="de-CH"/>
        </w:rPr>
        <w:t>.0</w:t>
      </w:r>
      <w:r w:rsidRPr="001555C8">
        <w:rPr>
          <w:lang w:eastAsia="de-CH"/>
        </w:rPr>
        <w:t xml:space="preserve">% ausgegangen </w:t>
      </w:r>
      <w:r w:rsidR="00D574EE" w:rsidRPr="001555C8">
        <w:rPr>
          <w:lang w:eastAsia="de-CH"/>
        </w:rPr>
        <w:br/>
      </w:r>
      <w:r w:rsidRPr="001555C8">
        <w:rPr>
          <w:lang w:eastAsia="de-CH"/>
        </w:rPr>
        <w:t xml:space="preserve">(dieser wird </w:t>
      </w:r>
      <w:r w:rsidR="00D808B0" w:rsidRPr="001555C8">
        <w:rPr>
          <w:lang w:eastAsia="de-CH"/>
        </w:rPr>
        <w:t xml:space="preserve">allerdings </w:t>
      </w:r>
      <w:r w:rsidR="003747CE" w:rsidRPr="001555C8">
        <w:rPr>
          <w:lang w:eastAsia="de-CH"/>
        </w:rPr>
        <w:t>von der Pe</w:t>
      </w:r>
      <w:r w:rsidR="00D32508" w:rsidRPr="001555C8">
        <w:rPr>
          <w:lang w:eastAsia="de-CH"/>
        </w:rPr>
        <w:t>nsions</w:t>
      </w:r>
      <w:r w:rsidR="003747CE" w:rsidRPr="001555C8">
        <w:rPr>
          <w:lang w:eastAsia="de-CH"/>
        </w:rPr>
        <w:t xml:space="preserve">kommission </w:t>
      </w:r>
      <w:r w:rsidR="00D808B0" w:rsidRPr="001555C8">
        <w:rPr>
          <w:lang w:eastAsia="de-CH"/>
        </w:rPr>
        <w:t xml:space="preserve">der </w:t>
      </w:r>
      <w:r w:rsidR="00151258" w:rsidRPr="001555C8">
        <w:rPr>
          <w:lang w:eastAsia="de-CH"/>
        </w:rPr>
        <w:t>PK Olten</w:t>
      </w:r>
      <w:r w:rsidRPr="001555C8">
        <w:rPr>
          <w:lang w:eastAsia="de-CH"/>
        </w:rPr>
        <w:t xml:space="preserve"> bestimmt)</w:t>
      </w:r>
      <w:r w:rsidR="00687D2A" w:rsidRPr="001555C8">
        <w:rPr>
          <w:lang w:eastAsia="de-CH"/>
        </w:rPr>
        <w:t>.</w:t>
      </w:r>
    </w:p>
    <w:p w:rsidR="000A4E83" w:rsidRPr="001555C8" w:rsidRDefault="000A4E83" w:rsidP="00786C73">
      <w:pPr>
        <w:pStyle w:val="Textkrper"/>
        <w:numPr>
          <w:ilvl w:val="0"/>
          <w:numId w:val="19"/>
        </w:numPr>
        <w:tabs>
          <w:tab w:val="clear" w:pos="720"/>
          <w:tab w:val="num" w:pos="567"/>
        </w:tabs>
        <w:spacing w:before="120"/>
        <w:ind w:left="567" w:hanging="567"/>
        <w:rPr>
          <w:lang w:eastAsia="de-CH"/>
        </w:rPr>
      </w:pPr>
      <w:r w:rsidRPr="001555C8">
        <w:rPr>
          <w:lang w:eastAsia="de-CH"/>
        </w:rPr>
        <w:t>Das Rücktrittsalter</w:t>
      </w:r>
      <w:r w:rsidR="00897A3F" w:rsidRPr="001555C8">
        <w:rPr>
          <w:lang w:eastAsia="de-CH"/>
        </w:rPr>
        <w:t xml:space="preserve"> </w:t>
      </w:r>
      <w:r w:rsidR="00607D4C" w:rsidRPr="001555C8">
        <w:rPr>
          <w:lang w:eastAsia="de-CH"/>
        </w:rPr>
        <w:t xml:space="preserve">beträgt </w:t>
      </w:r>
      <w:r w:rsidRPr="001555C8">
        <w:rPr>
          <w:lang w:eastAsia="de-CH"/>
        </w:rPr>
        <w:t>neu 65 Jahre</w:t>
      </w:r>
      <w:r w:rsidR="00897A3F" w:rsidRPr="001555C8">
        <w:rPr>
          <w:lang w:eastAsia="de-CH"/>
        </w:rPr>
        <w:t>.</w:t>
      </w:r>
    </w:p>
    <w:p w:rsidR="00043521" w:rsidRPr="001555C8" w:rsidRDefault="00D804FA"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Das </w:t>
      </w:r>
      <w:r w:rsidR="00595C16" w:rsidRPr="001555C8">
        <w:rPr>
          <w:lang w:eastAsia="de-CH"/>
        </w:rPr>
        <w:t xml:space="preserve">für das Beitragsprimat </w:t>
      </w:r>
      <w:r w:rsidRPr="001555C8">
        <w:rPr>
          <w:lang w:eastAsia="de-CH"/>
        </w:rPr>
        <w:t xml:space="preserve">modellmässig festgelegte Rentenziel beträgt 60% des versicherten Lohns im Alter 65 unter </w:t>
      </w:r>
      <w:r w:rsidR="003B69F8" w:rsidRPr="001555C8">
        <w:rPr>
          <w:lang w:eastAsia="de-CH"/>
        </w:rPr>
        <w:t>Einrechnung</w:t>
      </w:r>
      <w:r w:rsidRPr="001555C8">
        <w:rPr>
          <w:lang w:eastAsia="de-CH"/>
        </w:rPr>
        <w:t xml:space="preserve"> einer </w:t>
      </w:r>
      <w:r w:rsidR="00152C40" w:rsidRPr="001555C8">
        <w:rPr>
          <w:lang w:eastAsia="de-CH"/>
        </w:rPr>
        <w:t xml:space="preserve">vorsichtigen </w:t>
      </w:r>
      <w:r w:rsidRPr="001555C8">
        <w:rPr>
          <w:lang w:eastAsia="de-CH"/>
        </w:rPr>
        <w:t xml:space="preserve">"Realverzinsung" von 1.0%. Das Leistungsziel im </w:t>
      </w:r>
      <w:r w:rsidR="00152C40" w:rsidRPr="001555C8">
        <w:rPr>
          <w:lang w:eastAsia="de-CH"/>
        </w:rPr>
        <w:t>Rücktrittsalter 65</w:t>
      </w:r>
      <w:r w:rsidRPr="001555C8">
        <w:rPr>
          <w:lang w:eastAsia="de-CH"/>
        </w:rPr>
        <w:t xml:space="preserve"> wird trotz </w:t>
      </w:r>
      <w:r w:rsidR="00152C40" w:rsidRPr="001555C8">
        <w:rPr>
          <w:lang w:eastAsia="de-CH"/>
        </w:rPr>
        <w:t>Senkung des technischen Zinssatzes</w:t>
      </w:r>
      <w:r w:rsidRPr="001555C8">
        <w:rPr>
          <w:lang w:eastAsia="de-CH"/>
        </w:rPr>
        <w:t xml:space="preserve"> beibehalten.</w:t>
      </w:r>
    </w:p>
    <w:p w:rsidR="00F045F0" w:rsidRPr="001555C8" w:rsidRDefault="00D9622D"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Die </w:t>
      </w:r>
      <w:r w:rsidR="005A5E35" w:rsidRPr="001555C8">
        <w:rPr>
          <w:lang w:eastAsia="de-CH"/>
        </w:rPr>
        <w:t>Reform</w:t>
      </w:r>
      <w:r w:rsidRPr="001555C8">
        <w:rPr>
          <w:lang w:eastAsia="de-CH"/>
        </w:rPr>
        <w:t xml:space="preserve"> führt zu Mehrkosten (netto) für die Arbeitgeber von CHF 0.</w:t>
      </w:r>
      <w:r w:rsidR="005A5E35" w:rsidRPr="001555C8">
        <w:rPr>
          <w:lang w:eastAsia="de-CH"/>
        </w:rPr>
        <w:t>8</w:t>
      </w:r>
      <w:r w:rsidRPr="001555C8">
        <w:rPr>
          <w:lang w:eastAsia="de-CH"/>
        </w:rPr>
        <w:t xml:space="preserve"> Mio</w:t>
      </w:r>
      <w:r w:rsidR="00944D9C">
        <w:rPr>
          <w:lang w:eastAsia="de-CH"/>
        </w:rPr>
        <w:t>.</w:t>
      </w:r>
      <w:r w:rsidRPr="001555C8">
        <w:rPr>
          <w:lang w:eastAsia="de-CH"/>
        </w:rPr>
        <w:t xml:space="preserve"> pro Jahr während den nächsten 30 Jahren.</w:t>
      </w:r>
    </w:p>
    <w:p w:rsidR="00D9622D" w:rsidRPr="001555C8" w:rsidRDefault="00F045F0" w:rsidP="00786C73">
      <w:pPr>
        <w:pStyle w:val="Textkrper"/>
        <w:numPr>
          <w:ilvl w:val="0"/>
          <w:numId w:val="19"/>
        </w:numPr>
        <w:tabs>
          <w:tab w:val="clear" w:pos="720"/>
          <w:tab w:val="num" w:pos="567"/>
        </w:tabs>
        <w:spacing w:before="120"/>
        <w:ind w:left="567" w:hanging="567"/>
        <w:rPr>
          <w:lang w:eastAsia="de-CH"/>
        </w:rPr>
      </w:pPr>
      <w:r w:rsidRPr="001555C8">
        <w:rPr>
          <w:lang w:eastAsia="de-CH"/>
        </w:rPr>
        <w:t xml:space="preserve">Der Beitrag der </w:t>
      </w:r>
      <w:proofErr w:type="spellStart"/>
      <w:r w:rsidRPr="001555C8">
        <w:rPr>
          <w:lang w:eastAsia="de-CH"/>
        </w:rPr>
        <w:t>Arbeitnehmenden</w:t>
      </w:r>
      <w:proofErr w:type="spellEnd"/>
      <w:r w:rsidRPr="001555C8">
        <w:rPr>
          <w:lang w:eastAsia="de-CH"/>
        </w:rPr>
        <w:t xml:space="preserve"> ist die Erhöhung des</w:t>
      </w:r>
      <w:r w:rsidR="0028024D" w:rsidRPr="001555C8">
        <w:rPr>
          <w:lang w:eastAsia="de-CH"/>
        </w:rPr>
        <w:t xml:space="preserve"> Rücktrittsalters von 63 auf 65 Jahre </w:t>
      </w:r>
      <w:r w:rsidRPr="001555C8">
        <w:rPr>
          <w:lang w:eastAsia="de-CH"/>
        </w:rPr>
        <w:t xml:space="preserve">sowie ein teilweiser Risikotransfer aufgrund des </w:t>
      </w:r>
      <w:proofErr w:type="spellStart"/>
      <w:r w:rsidRPr="001555C8">
        <w:rPr>
          <w:lang w:eastAsia="de-CH"/>
        </w:rPr>
        <w:t>Primatwechsels</w:t>
      </w:r>
      <w:proofErr w:type="spellEnd"/>
      <w:r w:rsidRPr="001555C8">
        <w:rPr>
          <w:lang w:eastAsia="de-CH"/>
        </w:rPr>
        <w:t>.</w:t>
      </w:r>
      <w:r w:rsidR="005A5E35" w:rsidRPr="001555C8">
        <w:rPr>
          <w:lang w:eastAsia="de-CH"/>
        </w:rPr>
        <w:t xml:space="preserve"> Diese Planverschlechterung bedeutet aus Sicht der </w:t>
      </w:r>
      <w:proofErr w:type="spellStart"/>
      <w:r w:rsidR="005A5E35" w:rsidRPr="001555C8">
        <w:rPr>
          <w:lang w:eastAsia="de-CH"/>
        </w:rPr>
        <w:t>Arbeitnehmenden</w:t>
      </w:r>
      <w:proofErr w:type="spellEnd"/>
      <w:r w:rsidR="005A5E35" w:rsidRPr="001555C8">
        <w:rPr>
          <w:lang w:eastAsia="de-CH"/>
        </w:rPr>
        <w:t xml:space="preserve"> eine Einbusse von CHF</w:t>
      </w:r>
      <w:r w:rsidR="005A5E35" w:rsidRPr="001555C8">
        <w:t> 0.8 Mio</w:t>
      </w:r>
      <w:r w:rsidR="00944D9C">
        <w:t>.</w:t>
      </w:r>
      <w:r w:rsidR="005A5E35" w:rsidRPr="001555C8">
        <w:t xml:space="preserve"> pro Jahr, womit sich </w:t>
      </w:r>
      <w:proofErr w:type="spellStart"/>
      <w:r w:rsidR="005A5E35" w:rsidRPr="001555C8">
        <w:t>Arbeitnehmende</w:t>
      </w:r>
      <w:proofErr w:type="spellEnd"/>
      <w:r w:rsidR="005A5E35" w:rsidRPr="001555C8">
        <w:t xml:space="preserve"> und </w:t>
      </w:r>
      <w:proofErr w:type="spellStart"/>
      <w:r w:rsidR="005A5E35" w:rsidRPr="001555C8">
        <w:t>Arbeitgebende</w:t>
      </w:r>
      <w:proofErr w:type="spellEnd"/>
      <w:r w:rsidR="005A5E35" w:rsidRPr="001555C8">
        <w:t xml:space="preserve"> gleicherma</w:t>
      </w:r>
      <w:r w:rsidR="005A5E35" w:rsidRPr="001555C8">
        <w:t>s</w:t>
      </w:r>
      <w:r w:rsidR="005A5E35" w:rsidRPr="001555C8">
        <w:t>sen an der Finanzierung beteiligen.</w:t>
      </w:r>
    </w:p>
    <w:p w:rsidR="00644911" w:rsidRPr="001555C8" w:rsidRDefault="00644911" w:rsidP="000A4E83">
      <w:pPr>
        <w:pStyle w:val="Textkrper"/>
        <w:rPr>
          <w:lang w:eastAsia="de-CH"/>
        </w:rPr>
      </w:pPr>
    </w:p>
    <w:p w:rsidR="00644911" w:rsidRPr="001555C8" w:rsidRDefault="00644911" w:rsidP="00644911">
      <w:pPr>
        <w:pStyle w:val="Textkrper"/>
        <w:rPr>
          <w:lang w:eastAsia="de-CH"/>
        </w:rPr>
      </w:pPr>
      <w:r w:rsidRPr="001555C8">
        <w:rPr>
          <w:lang w:eastAsia="de-CH"/>
        </w:rPr>
        <w:t xml:space="preserve">Bezüglich Voll- oder Teilkapitalisierung </w:t>
      </w:r>
      <w:r w:rsidR="00607D4C" w:rsidRPr="001555C8">
        <w:rPr>
          <w:lang w:eastAsia="de-CH"/>
        </w:rPr>
        <w:t xml:space="preserve">ist </w:t>
      </w:r>
      <w:r w:rsidR="003747CE" w:rsidRPr="001555C8">
        <w:rPr>
          <w:lang w:eastAsia="de-CH"/>
        </w:rPr>
        <w:t xml:space="preserve">der Weg der Teilkapitalisierung </w:t>
      </w:r>
      <w:r w:rsidR="00607D4C" w:rsidRPr="001555C8">
        <w:rPr>
          <w:lang w:eastAsia="de-CH"/>
        </w:rPr>
        <w:t>zu wählen</w:t>
      </w:r>
      <w:r w:rsidR="005A5E35" w:rsidRPr="001555C8">
        <w:rPr>
          <w:lang w:eastAsia="de-CH"/>
        </w:rPr>
        <w:t xml:space="preserve">. Beim </w:t>
      </w:r>
      <w:r w:rsidR="00656441" w:rsidRPr="001555C8">
        <w:rPr>
          <w:lang w:eastAsia="de-CH"/>
        </w:rPr>
        <w:t xml:space="preserve">Start </w:t>
      </w:r>
      <w:r w:rsidR="005A5E35" w:rsidRPr="001555C8">
        <w:rPr>
          <w:lang w:eastAsia="de-CH"/>
        </w:rPr>
        <w:t xml:space="preserve">soll </w:t>
      </w:r>
      <w:r w:rsidR="00656441" w:rsidRPr="001555C8">
        <w:rPr>
          <w:lang w:eastAsia="de-CH"/>
        </w:rPr>
        <w:t xml:space="preserve">eine </w:t>
      </w:r>
      <w:r w:rsidR="0047739C" w:rsidRPr="001555C8">
        <w:rPr>
          <w:lang w:eastAsia="de-CH"/>
        </w:rPr>
        <w:t xml:space="preserve">Wertschwankungs- und Umlageschwankungsreserve </w:t>
      </w:r>
      <w:r w:rsidR="00656441" w:rsidRPr="001555C8">
        <w:rPr>
          <w:lang w:eastAsia="de-CH"/>
        </w:rPr>
        <w:t>von 20% besteh</w:t>
      </w:r>
      <w:r w:rsidR="005A5E35" w:rsidRPr="001555C8">
        <w:rPr>
          <w:lang w:eastAsia="de-CH"/>
        </w:rPr>
        <w:t>en, welche den Deckungsgrad von 80% stabil hält.</w:t>
      </w:r>
    </w:p>
    <w:p w:rsidR="000A4E83" w:rsidRPr="001555C8" w:rsidRDefault="000A4E83" w:rsidP="000A4E83">
      <w:pPr>
        <w:tabs>
          <w:tab w:val="left" w:pos="567"/>
        </w:tabs>
        <w:spacing w:after="120" w:line="280" w:lineRule="exact"/>
        <w:ind w:left="1134" w:hanging="1134"/>
        <w:jc w:val="both"/>
        <w:rPr>
          <w:b/>
        </w:rPr>
      </w:pPr>
    </w:p>
    <w:p w:rsidR="00B02E71" w:rsidRPr="001555C8" w:rsidRDefault="005467DD" w:rsidP="00C3664B">
      <w:pPr>
        <w:pStyle w:val="berschrift1"/>
        <w:numPr>
          <w:ilvl w:val="0"/>
          <w:numId w:val="2"/>
        </w:numPr>
        <w:tabs>
          <w:tab w:val="clear" w:pos="567"/>
          <w:tab w:val="left" w:pos="992"/>
        </w:tabs>
      </w:pPr>
      <w:r w:rsidRPr="001555C8">
        <w:br w:type="page"/>
      </w:r>
      <w:bookmarkStart w:id="106" w:name="_Toc358786224"/>
      <w:bookmarkStart w:id="107" w:name="_Toc297847285"/>
      <w:bookmarkStart w:id="108" w:name="_Toc303595162"/>
      <w:r w:rsidR="00EB07D6" w:rsidRPr="001555C8">
        <w:t xml:space="preserve">Entwurf der Statuten </w:t>
      </w:r>
      <w:r w:rsidR="00746200" w:rsidRPr="001555C8">
        <w:t xml:space="preserve">und </w:t>
      </w:r>
      <w:r w:rsidR="0087280D" w:rsidRPr="001555C8">
        <w:t>Kommentar</w:t>
      </w:r>
      <w:bookmarkEnd w:id="106"/>
      <w:r w:rsidR="0087280D" w:rsidRPr="001555C8">
        <w:t xml:space="preserve"> </w:t>
      </w:r>
      <w:bookmarkEnd w:id="107"/>
      <w:bookmarkEnd w:id="108"/>
    </w:p>
    <w:p w:rsidR="0066344A" w:rsidRPr="001555C8" w:rsidRDefault="009F38F0" w:rsidP="000A4E83">
      <w:pPr>
        <w:pStyle w:val="Textkrper"/>
      </w:pPr>
      <w:bookmarkStart w:id="109" w:name="_Toc333830145"/>
      <w:bookmarkStart w:id="110" w:name="_Toc334545141"/>
      <w:r w:rsidRPr="001555C8">
        <w:t xml:space="preserve">Der Entwurf für </w:t>
      </w:r>
      <w:r w:rsidR="00EB07D6" w:rsidRPr="001555C8">
        <w:t>die neuen Statuten</w:t>
      </w:r>
      <w:r w:rsidR="000A4E83" w:rsidRPr="001555C8">
        <w:t xml:space="preserve"> ist im Lichte der neuen bundesrechtlichen Vorschriften, insbesondere mit Blick auf dem seit 1.</w:t>
      </w:r>
      <w:r w:rsidR="00826983" w:rsidRPr="001555C8">
        <w:t> Januar </w:t>
      </w:r>
      <w:r w:rsidR="000A4E83" w:rsidRPr="001555C8">
        <w:t xml:space="preserve">2012 in Kraft getretenen Art. 50 Abs. 2 BVG zu betrachten. Dieser Artikel sieht eine neue Kompetenzaufteilung zwischen den politischen Behörden und dem obersten Organ einer öffentlich-rechtlichen Vorsorgeeinrichtung vor. Unter dem alten BVG konnten Bund, </w:t>
      </w:r>
      <w:r w:rsidR="00CF07E0" w:rsidRPr="001555C8">
        <w:t>St</w:t>
      </w:r>
      <w:r w:rsidR="00A729DF" w:rsidRPr="001555C8">
        <w:t>ä</w:t>
      </w:r>
      <w:r w:rsidR="00CF07E0" w:rsidRPr="001555C8">
        <w:t>dt</w:t>
      </w:r>
      <w:r w:rsidR="000A4E83" w:rsidRPr="001555C8">
        <w:t xml:space="preserve">e und Gemeinden die Finanzierung, die Leistungen und die Organisation in einem Erlass regeln. Wurde von dieser Möglichkeit Gebrauch gemacht, stand dem obersten Organ der Vorsorgeeinrichtung lediglich ein Anhörungsrecht zu. </w:t>
      </w:r>
    </w:p>
    <w:p w:rsidR="00A729DF" w:rsidRPr="001555C8" w:rsidRDefault="00A729DF" w:rsidP="000A4E83">
      <w:pPr>
        <w:pStyle w:val="Textkrper"/>
      </w:pPr>
    </w:p>
    <w:p w:rsidR="000A4E83" w:rsidRPr="001555C8" w:rsidRDefault="000A4E83" w:rsidP="000A4E83">
      <w:pPr>
        <w:pStyle w:val="Textkrper"/>
      </w:pPr>
      <w:r w:rsidRPr="001555C8">
        <w:t>Nach dem neuen Artikel 50 Absatz 2 BVG dürfen die öffentlich-rechtlichen Körperschaften für ihre Vorsorgeeinrichtungen nur noch entweder die Finanzierung oder die Leistungen regeln. Eine umfassende Regelung der beruflichen Vorsorge ist nicht mehr zulässig, da das oberste Organ einer Vorsorgeeinrichtung die notwendigen Steuerungsmöglichkeiten erhalten soll.</w:t>
      </w:r>
    </w:p>
    <w:p w:rsidR="0066344A" w:rsidRPr="001555C8" w:rsidRDefault="0066344A" w:rsidP="000A4E83">
      <w:pPr>
        <w:pStyle w:val="Textkrper"/>
      </w:pPr>
    </w:p>
    <w:p w:rsidR="009F38F0" w:rsidRPr="001555C8" w:rsidRDefault="009F38F0" w:rsidP="000A4E83">
      <w:pPr>
        <w:pStyle w:val="Textkrper"/>
      </w:pPr>
    </w:p>
    <w:p w:rsidR="009F38F0" w:rsidRPr="001555C8" w:rsidRDefault="001157CC" w:rsidP="00786C73">
      <w:pPr>
        <w:pStyle w:val="AenderungbisherigenRechtsGesetzestitel"/>
        <w:numPr>
          <w:ilvl w:val="0"/>
          <w:numId w:val="25"/>
        </w:numPr>
        <w:ind w:left="709" w:hanging="709"/>
        <w:rPr>
          <w:sz w:val="24"/>
        </w:rPr>
      </w:pPr>
      <w:r w:rsidRPr="001555C8">
        <w:rPr>
          <w:sz w:val="24"/>
        </w:rPr>
        <w:br w:type="page"/>
      </w:r>
      <w:r w:rsidR="009F38F0" w:rsidRPr="001555C8">
        <w:rPr>
          <w:sz w:val="24"/>
        </w:rPr>
        <w:t>Allgemeines</w:t>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rPr>
          <w:sz w:val="24"/>
          <w:szCs w:val="20"/>
        </w:rPr>
      </w:pPr>
      <w:bookmarkStart w:id="111" w:name="_Toc358786225"/>
      <w:r w:rsidRPr="001555C8">
        <w:t>Name, Rechtspersönlichkeit</w:t>
      </w:r>
      <w:bookmarkEnd w:id="109"/>
      <w:r w:rsidRPr="001555C8">
        <w:t xml:space="preserve"> und Sitz</w:t>
      </w:r>
      <w:bookmarkEnd w:id="110"/>
      <w:bookmarkEnd w:id="111"/>
    </w:p>
    <w:tbl>
      <w:tblPr>
        <w:tblW w:w="9075" w:type="dxa"/>
        <w:tblInd w:w="85" w:type="dxa"/>
        <w:tblLayout w:type="fixed"/>
        <w:tblCellMar>
          <w:left w:w="85" w:type="dxa"/>
          <w:right w:w="85" w:type="dxa"/>
        </w:tblCellMar>
        <w:tblLook w:val="04A0"/>
      </w:tblPr>
      <w:tblGrid>
        <w:gridCol w:w="9075"/>
      </w:tblGrid>
      <w:tr w:rsidR="000A4E83" w:rsidRPr="001555C8" w:rsidTr="003809B6">
        <w:trPr>
          <w:cantSplit/>
        </w:trPr>
        <w:tc>
          <w:tcPr>
            <w:tcW w:w="9075" w:type="dxa"/>
          </w:tcPr>
          <w:p w:rsidR="000A4E83" w:rsidRPr="001555C8" w:rsidRDefault="00896579" w:rsidP="003809B6">
            <w:pPr>
              <w:pStyle w:val="Artikel"/>
              <w:tabs>
                <w:tab w:val="left" w:pos="199"/>
              </w:tabs>
              <w:spacing w:line="260" w:lineRule="atLeast"/>
              <w:rPr>
                <w:sz w:val="18"/>
                <w:szCs w:val="18"/>
              </w:rPr>
            </w:pPr>
            <w:fldSimple w:instr=" SEQ Abs1 \* ARABIC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Unter dem Namen Pensionskasse </w:t>
            </w:r>
            <w:r w:rsidR="00086991" w:rsidRPr="001555C8">
              <w:rPr>
                <w:sz w:val="20"/>
              </w:rPr>
              <w:t>der Stadt Olten</w:t>
            </w:r>
            <w:r w:rsidR="000A4E83" w:rsidRPr="001555C8">
              <w:rPr>
                <w:sz w:val="20"/>
              </w:rPr>
              <w:t xml:space="preserve"> ("</w:t>
            </w:r>
            <w:r w:rsidR="00151258" w:rsidRPr="001555C8">
              <w:rPr>
                <w:sz w:val="20"/>
              </w:rPr>
              <w:t>PK Olten</w:t>
            </w:r>
            <w:r w:rsidR="000A4E83" w:rsidRPr="001555C8">
              <w:rPr>
                <w:sz w:val="20"/>
              </w:rPr>
              <w:t>") besteht eine öffentlich-rechtliche Anstalt mit eigener Rechtspersönlichkeit.</w:t>
            </w:r>
          </w:p>
        </w:tc>
      </w:tr>
      <w:tr w:rsidR="000A4E83" w:rsidRPr="001555C8" w:rsidTr="003809B6">
        <w:trPr>
          <w:cantSplit/>
        </w:trPr>
        <w:tc>
          <w:tcPr>
            <w:tcW w:w="9075" w:type="dxa"/>
          </w:tcPr>
          <w:p w:rsidR="000A4E83" w:rsidRPr="001555C8" w:rsidRDefault="00896579">
            <w:pPr>
              <w:pStyle w:val="Artikel"/>
              <w:tabs>
                <w:tab w:val="left" w:pos="199"/>
              </w:tabs>
              <w:rPr>
                <w:sz w:val="18"/>
                <w:szCs w:val="18"/>
              </w:rPr>
            </w:pPr>
            <w:fldSimple w:instr=" SEQ Abs1 \* ARABIC \* MERGEFORMAT ">
              <w:r w:rsidR="006674A1" w:rsidRPr="006674A1">
                <w:rPr>
                  <w:noProof/>
                  <w:sz w:val="18"/>
                  <w:szCs w:val="18"/>
                  <w:vertAlign w:val="superscript"/>
                </w:rPr>
                <w:t>2</w:t>
              </w:r>
            </w:fldSimple>
            <w:r w:rsidR="000A4E83" w:rsidRPr="001555C8">
              <w:rPr>
                <w:sz w:val="18"/>
                <w:szCs w:val="18"/>
              </w:rPr>
              <w:tab/>
            </w:r>
            <w:r w:rsidR="000A4E83" w:rsidRPr="001555C8">
              <w:rPr>
                <w:sz w:val="20"/>
              </w:rPr>
              <w:t xml:space="preserve">Die </w:t>
            </w:r>
            <w:r w:rsidR="00151258" w:rsidRPr="001555C8">
              <w:rPr>
                <w:sz w:val="20"/>
              </w:rPr>
              <w:t>PK Olten</w:t>
            </w:r>
            <w:r w:rsidR="000A4E83" w:rsidRPr="001555C8">
              <w:rPr>
                <w:sz w:val="20"/>
              </w:rPr>
              <w:t xml:space="preserve"> ist dem Finanzhaushaltgesetz nicht unterstellt.</w:t>
            </w:r>
          </w:p>
        </w:tc>
      </w:tr>
      <w:tr w:rsidR="000A4E83" w:rsidRPr="001555C8" w:rsidTr="003809B6">
        <w:trPr>
          <w:cantSplit/>
        </w:trPr>
        <w:tc>
          <w:tcPr>
            <w:tcW w:w="9075" w:type="dxa"/>
          </w:tcPr>
          <w:p w:rsidR="000A4E83" w:rsidRPr="001555C8" w:rsidRDefault="00896579" w:rsidP="00086991">
            <w:pPr>
              <w:pStyle w:val="Artikel"/>
              <w:tabs>
                <w:tab w:val="left" w:pos="199"/>
              </w:tabs>
              <w:rPr>
                <w:sz w:val="18"/>
                <w:szCs w:val="18"/>
                <w:vertAlign w:val="superscript"/>
              </w:rPr>
            </w:pPr>
            <w:fldSimple w:instr=" SEQ Abs1 \* ARABIC \* MERGEFORMAT ">
              <w:r w:rsidR="006674A1" w:rsidRPr="006674A1">
                <w:rPr>
                  <w:noProof/>
                  <w:sz w:val="18"/>
                  <w:szCs w:val="18"/>
                  <w:vertAlign w:val="superscript"/>
                </w:rPr>
                <w:t>3</w:t>
              </w:r>
            </w:fldSimple>
            <w:r w:rsidR="000A4E83" w:rsidRPr="001555C8">
              <w:rPr>
                <w:sz w:val="18"/>
                <w:szCs w:val="18"/>
              </w:rPr>
              <w:tab/>
            </w:r>
            <w:r w:rsidR="000A4E83" w:rsidRPr="001555C8">
              <w:rPr>
                <w:sz w:val="20"/>
              </w:rPr>
              <w:t xml:space="preserve">Die </w:t>
            </w:r>
            <w:r w:rsidR="00151258" w:rsidRPr="001555C8">
              <w:rPr>
                <w:sz w:val="20"/>
              </w:rPr>
              <w:t>PK Olten</w:t>
            </w:r>
            <w:r w:rsidR="000A4E83" w:rsidRPr="001555C8">
              <w:rPr>
                <w:sz w:val="20"/>
              </w:rPr>
              <w:t xml:space="preserve"> hat ihren Sitz in </w:t>
            </w:r>
            <w:r w:rsidR="00086991" w:rsidRPr="001555C8">
              <w:rPr>
                <w:sz w:val="20"/>
              </w:rPr>
              <w:t>Olten</w:t>
            </w:r>
            <w:r w:rsidR="000A4E83" w:rsidRPr="001555C8">
              <w:rPr>
                <w:sz w:val="20"/>
              </w:rPr>
              <w:t>.</w:t>
            </w:r>
          </w:p>
        </w:tc>
      </w:tr>
    </w:tbl>
    <w:p w:rsidR="009C2DD3" w:rsidRPr="001555C8" w:rsidRDefault="009C2DD3" w:rsidP="00A72455">
      <w:pPr>
        <w:pStyle w:val="Textkrper"/>
      </w:pPr>
    </w:p>
    <w:p w:rsidR="009C2DD3" w:rsidRPr="001555C8" w:rsidRDefault="009C2DD3" w:rsidP="00A72455">
      <w:pPr>
        <w:pStyle w:val="Textkrper"/>
      </w:pPr>
      <w:r w:rsidRPr="001555C8">
        <w:t>Artikel 48 Absatz 2 BVG verlangt, dass Vorsorgeeinrichtungen eine eigene Rechtspersö</w:t>
      </w:r>
      <w:r w:rsidRPr="001555C8">
        <w:t>n</w:t>
      </w:r>
      <w:r w:rsidRPr="001555C8">
        <w:t xml:space="preserve">lichkeit haben müssen. Möglich ist die Rechtsform einer Stiftung oder </w:t>
      </w:r>
      <w:r w:rsidR="00963297" w:rsidRPr="001555C8">
        <w:t xml:space="preserve">etwa </w:t>
      </w:r>
      <w:r w:rsidRPr="001555C8">
        <w:t xml:space="preserve">einer selbständigen </w:t>
      </w:r>
      <w:r w:rsidR="00963297" w:rsidRPr="001555C8">
        <w:t xml:space="preserve">Einrichtung </w:t>
      </w:r>
      <w:r w:rsidR="00425FAC" w:rsidRPr="001555C8">
        <w:t xml:space="preserve">des </w:t>
      </w:r>
      <w:r w:rsidRPr="001555C8">
        <w:t xml:space="preserve">öffentlich-rechtlichen </w:t>
      </w:r>
      <w:r w:rsidR="00425FAC" w:rsidRPr="001555C8">
        <w:t>Rechts</w:t>
      </w:r>
      <w:r w:rsidRPr="001555C8">
        <w:t>.</w:t>
      </w:r>
      <w:r w:rsidR="00CF07E0" w:rsidRPr="001555C8">
        <w:t xml:space="preserve"> </w:t>
      </w:r>
      <w:r w:rsidRPr="001555C8">
        <w:t xml:space="preserve">Aufgrund der nach wie vor engen Beziehung </w:t>
      </w:r>
      <w:r w:rsidR="00CF07E0" w:rsidRPr="001555C8">
        <w:t>zur Stadt Olten</w:t>
      </w:r>
      <w:r w:rsidRPr="001555C8">
        <w:t xml:space="preserve"> wird die öffentlich-rechtliche Anstalt mit eigener Rechtspersönlichkeit weiterhin als die am besten geeignete Rechtsform erachtet. Sie ist nicht nur die bei den öffentlich-rechtlichen Vorsorgeeinrichtungen am meisten verbreiteten Rechtsform, sondern sie kommt in ihrem Wesen auch der Stiftung, d.h. der für privatrechtliche Vorsorgeeinrichtungen massgebenden Rechtsform, am nächsten.</w:t>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12" w:name="_Toc334545142"/>
      <w:bookmarkStart w:id="113" w:name="_Toc358786226"/>
      <w:bookmarkStart w:id="114" w:name="_Toc333830146"/>
      <w:r w:rsidRPr="001555C8">
        <w:t>Zweck und Tätigkeitsbereich</w:t>
      </w:r>
      <w:bookmarkEnd w:id="112"/>
      <w:bookmarkEnd w:id="113"/>
    </w:p>
    <w:tbl>
      <w:tblPr>
        <w:tblW w:w="9072" w:type="dxa"/>
        <w:tblInd w:w="85" w:type="dxa"/>
        <w:tblLayout w:type="fixed"/>
        <w:tblCellMar>
          <w:left w:w="85" w:type="dxa"/>
          <w:right w:w="85" w:type="dxa"/>
        </w:tblCellMar>
        <w:tblLook w:val="04A0"/>
      </w:tblPr>
      <w:tblGrid>
        <w:gridCol w:w="9072"/>
      </w:tblGrid>
      <w:tr w:rsidR="000A4E83" w:rsidRPr="001555C8" w:rsidTr="003809B6">
        <w:trPr>
          <w:cantSplit/>
        </w:trPr>
        <w:tc>
          <w:tcPr>
            <w:tcW w:w="9072" w:type="dxa"/>
          </w:tcPr>
          <w:p w:rsidR="000A4E83" w:rsidRPr="001555C8" w:rsidRDefault="00896579" w:rsidP="00CF07E0">
            <w:pPr>
              <w:pStyle w:val="Artikel"/>
              <w:tabs>
                <w:tab w:val="left" w:pos="199"/>
              </w:tabs>
              <w:rPr>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Die </w:t>
            </w:r>
            <w:r w:rsidR="00151258" w:rsidRPr="001555C8">
              <w:rPr>
                <w:sz w:val="20"/>
              </w:rPr>
              <w:t>PK Olten</w:t>
            </w:r>
            <w:r w:rsidR="000A4E83" w:rsidRPr="001555C8">
              <w:rPr>
                <w:sz w:val="20"/>
              </w:rPr>
              <w:t xml:space="preserve"> führt die berufliche Vorsorge der Mitarbeitenden </w:t>
            </w:r>
            <w:r w:rsidR="00CF07E0" w:rsidRPr="001555C8">
              <w:rPr>
                <w:sz w:val="20"/>
              </w:rPr>
              <w:t>der Stadt</w:t>
            </w:r>
            <w:r w:rsidR="000A4E83" w:rsidRPr="001555C8">
              <w:rPr>
                <w:sz w:val="20"/>
              </w:rPr>
              <w:t xml:space="preserve"> sowie des Personals der aufgrund einer Anschlussvereinbarung angeschlossenen Arbeitgeber durch. Sie ist im Register für die berufliche Vorsorge eingetragen.</w:t>
            </w:r>
          </w:p>
        </w:tc>
      </w:tr>
      <w:tr w:rsidR="000A4E83" w:rsidRPr="001555C8" w:rsidTr="003809B6">
        <w:trPr>
          <w:cantSplit/>
        </w:trPr>
        <w:tc>
          <w:tcPr>
            <w:tcW w:w="9072" w:type="dxa"/>
          </w:tcPr>
          <w:p w:rsidR="000A4E83" w:rsidRPr="001555C8" w:rsidRDefault="00896579" w:rsidP="001555C8">
            <w:pPr>
              <w:pStyle w:val="StandardWeb"/>
              <w:tabs>
                <w:tab w:val="left" w:pos="199"/>
              </w:tabs>
              <w:spacing w:before="0" w:beforeAutospacing="0" w:after="120" w:afterAutospacing="0" w:line="240" w:lineRule="atLeast"/>
              <w:jc w:val="both"/>
              <w:rPr>
                <w:rFonts w:ascii="Arial" w:hAnsi="Arial" w:cs="Arial"/>
                <w:sz w:val="18"/>
                <w:szCs w:val="18"/>
              </w:rPr>
            </w:pPr>
            <w:fldSimple w:instr=" SEQ Abs1 \* ARABIC \* MERGEFORMAT ">
              <w:r w:rsidR="006674A1" w:rsidRPr="006674A1">
                <w:rPr>
                  <w:rFonts w:ascii="Arial" w:hAnsi="Arial" w:cs="Arial"/>
                  <w:noProof/>
                  <w:sz w:val="18"/>
                  <w:szCs w:val="18"/>
                  <w:vertAlign w:val="superscript"/>
                </w:rPr>
                <w:t>2</w:t>
              </w:r>
            </w:fldSimple>
            <w:r w:rsidR="000A4E83" w:rsidRPr="001555C8">
              <w:rPr>
                <w:sz w:val="18"/>
                <w:szCs w:val="18"/>
              </w:rPr>
              <w:tab/>
            </w:r>
            <w:r w:rsidR="000A4E83" w:rsidRPr="001555C8">
              <w:rPr>
                <w:rFonts w:ascii="Arial" w:eastAsia="Times New Roman" w:hAnsi="Arial" w:cs="Arial"/>
                <w:sz w:val="20"/>
                <w:szCs w:val="20"/>
              </w:rPr>
              <w:t>Anschlussvereinbarungen können mit Arbeitgebern, welche Aufgaben im öffentlichen Interesse erfüllen, abgeschlossen werden.</w:t>
            </w:r>
          </w:p>
        </w:tc>
      </w:tr>
      <w:tr w:rsidR="000A4E83" w:rsidRPr="001555C8" w:rsidTr="003809B6">
        <w:trPr>
          <w:cantSplit/>
        </w:trPr>
        <w:tc>
          <w:tcPr>
            <w:tcW w:w="9072" w:type="dxa"/>
          </w:tcPr>
          <w:p w:rsidR="000A4E83" w:rsidRPr="001555C8" w:rsidRDefault="00896579" w:rsidP="00EB07D6">
            <w:pPr>
              <w:pStyle w:val="Artikel"/>
              <w:tabs>
                <w:tab w:val="left" w:pos="199"/>
              </w:tabs>
              <w:rPr>
                <w:sz w:val="18"/>
                <w:szCs w:val="18"/>
              </w:rPr>
            </w:pPr>
            <w:fldSimple w:instr=" SEQ Abs1 \* ARABIC \* MERGEFORMAT ">
              <w:r w:rsidR="006674A1" w:rsidRPr="006674A1">
                <w:rPr>
                  <w:noProof/>
                  <w:sz w:val="18"/>
                  <w:szCs w:val="18"/>
                  <w:vertAlign w:val="superscript"/>
                </w:rPr>
                <w:t>3</w:t>
              </w:r>
            </w:fldSimple>
            <w:r w:rsidR="000A4E83" w:rsidRPr="001555C8">
              <w:rPr>
                <w:sz w:val="18"/>
                <w:szCs w:val="18"/>
              </w:rPr>
              <w:tab/>
            </w:r>
            <w:r w:rsidR="000A4E83" w:rsidRPr="001555C8">
              <w:rPr>
                <w:sz w:val="20"/>
              </w:rPr>
              <w:t xml:space="preserve">Die </w:t>
            </w:r>
            <w:r w:rsidR="00151258" w:rsidRPr="001555C8">
              <w:rPr>
                <w:sz w:val="20"/>
              </w:rPr>
              <w:t>PK Olten</w:t>
            </w:r>
            <w:r w:rsidR="000A4E83" w:rsidRPr="001555C8">
              <w:rPr>
                <w:sz w:val="20"/>
              </w:rPr>
              <w:t xml:space="preserve"> ist im Rahmen der Bestimmungen </w:t>
            </w:r>
            <w:r w:rsidR="00EB07D6" w:rsidRPr="001555C8">
              <w:rPr>
                <w:sz w:val="20"/>
              </w:rPr>
              <w:t>dieser Statuten</w:t>
            </w:r>
            <w:r w:rsidR="000A4E83" w:rsidRPr="001555C8">
              <w:rPr>
                <w:sz w:val="20"/>
              </w:rPr>
              <w:t xml:space="preserve"> und des BVG in der Gestaltung ihrer Leistungen und in ihrer Organisation frei.</w:t>
            </w:r>
          </w:p>
        </w:tc>
      </w:tr>
    </w:tbl>
    <w:p w:rsidR="009C2DD3" w:rsidRPr="001555C8" w:rsidRDefault="009C2DD3" w:rsidP="009C2DD3">
      <w:pPr>
        <w:pStyle w:val="Textkrper"/>
      </w:pPr>
    </w:p>
    <w:p w:rsidR="009C2DD3" w:rsidRPr="001555C8" w:rsidRDefault="009C2DD3" w:rsidP="009C2DD3">
      <w:pPr>
        <w:pStyle w:val="Textkrper"/>
      </w:pPr>
      <w:r w:rsidRPr="001555C8">
        <w:t xml:space="preserve">Sinn und Zweck der </w:t>
      </w:r>
      <w:r w:rsidR="00151258" w:rsidRPr="001555C8">
        <w:t>PK Olten</w:t>
      </w:r>
      <w:r w:rsidRPr="001555C8">
        <w:t xml:space="preserve"> ist die Durchführung der beruflichen Vorsorge für die Mitarbeitenden </w:t>
      </w:r>
      <w:r w:rsidR="00FA1827" w:rsidRPr="001555C8">
        <w:t>der Stadt</w:t>
      </w:r>
      <w:r w:rsidRPr="001555C8">
        <w:t xml:space="preserve"> sowie der angeschlossenen </w:t>
      </w:r>
      <w:proofErr w:type="spellStart"/>
      <w:r w:rsidRPr="001555C8">
        <w:t>Arbeitgebenden</w:t>
      </w:r>
      <w:proofErr w:type="spellEnd"/>
      <w:r w:rsidRPr="001555C8">
        <w:t>.</w:t>
      </w:r>
      <w:r w:rsidR="00CF07E0" w:rsidRPr="001555C8">
        <w:t xml:space="preserve"> </w:t>
      </w:r>
      <w:r w:rsidRPr="001555C8">
        <w:t xml:space="preserve">Der Kreis der </w:t>
      </w:r>
      <w:proofErr w:type="spellStart"/>
      <w:r w:rsidRPr="001555C8">
        <w:t>Arbeitgebenden</w:t>
      </w:r>
      <w:proofErr w:type="spellEnd"/>
      <w:r w:rsidRPr="001555C8">
        <w:t xml:space="preserve">, welche sich der </w:t>
      </w:r>
      <w:r w:rsidR="00151258" w:rsidRPr="001555C8">
        <w:t>PK Olten</w:t>
      </w:r>
      <w:r w:rsidRPr="001555C8">
        <w:t xml:space="preserve"> anschliessen können, ist relativ offen gehalten. So können sich auch Arbeitgeber anschliessen, die keinen </w:t>
      </w:r>
      <w:r w:rsidR="00CF07E0" w:rsidRPr="001555C8">
        <w:t xml:space="preserve">direkten </w:t>
      </w:r>
      <w:r w:rsidRPr="001555C8">
        <w:t xml:space="preserve">Bezug </w:t>
      </w:r>
      <w:r w:rsidR="00CF07E0" w:rsidRPr="001555C8">
        <w:t>zur Stadt</w:t>
      </w:r>
      <w:r w:rsidRPr="001555C8">
        <w:t xml:space="preserve"> haben. Bedingung ist allein, dass sie Aufgaben erfüllen, die im öffentlichen Interesse stehen. Damit soll verhindert werden, dass die </w:t>
      </w:r>
      <w:r w:rsidR="00151258" w:rsidRPr="001555C8">
        <w:t>PK Olten</w:t>
      </w:r>
      <w:r w:rsidRPr="001555C8">
        <w:t xml:space="preserve"> sich auch für privatrechtliche Unternehmen ohne Bezug zum öffentlichen Interesse öffnen kann und damit die privaten Sammeleinrichtungen konkurrieren würde. Die Grundsätze gemäss BVG, wonach zusammengefasst gute Leistungen mit vertretbarem Risiko und zu tiefen Kosten erbracht werden sollen, sind einzuhalten.</w:t>
      </w:r>
    </w:p>
    <w:p w:rsidR="000A4E83" w:rsidRPr="001555C8" w:rsidRDefault="001157CC" w:rsidP="00895CEF">
      <w:pPr>
        <w:pStyle w:val="berschrift2"/>
        <w:numPr>
          <w:ilvl w:val="1"/>
          <w:numId w:val="17"/>
        </w:numPr>
        <w:tabs>
          <w:tab w:val="clear" w:pos="992"/>
          <w:tab w:val="clear" w:pos="1134"/>
        </w:tabs>
        <w:spacing w:before="480" w:after="120" w:line="240" w:lineRule="atLeast"/>
        <w:ind w:left="851" w:hanging="851"/>
        <w:textAlignment w:val="auto"/>
        <w:rPr>
          <w:sz w:val="24"/>
          <w:szCs w:val="20"/>
        </w:rPr>
      </w:pPr>
      <w:bookmarkStart w:id="115" w:name="_Toc334545144"/>
      <w:bookmarkEnd w:id="114"/>
      <w:r w:rsidRPr="001555C8">
        <w:br w:type="page"/>
      </w:r>
      <w:bookmarkStart w:id="116" w:name="_Toc358786227"/>
      <w:r w:rsidR="000A4E83" w:rsidRPr="001555C8">
        <w:t>Zuständigkeit</w:t>
      </w:r>
      <w:bookmarkEnd w:id="115"/>
      <w:bookmarkEnd w:id="116"/>
    </w:p>
    <w:tbl>
      <w:tblPr>
        <w:tblW w:w="9072" w:type="dxa"/>
        <w:tblInd w:w="85" w:type="dxa"/>
        <w:tblLayout w:type="fixed"/>
        <w:tblCellMar>
          <w:left w:w="85" w:type="dxa"/>
          <w:right w:w="85" w:type="dxa"/>
        </w:tblCellMar>
        <w:tblLook w:val="04A0"/>
      </w:tblPr>
      <w:tblGrid>
        <w:gridCol w:w="9072"/>
      </w:tblGrid>
      <w:tr w:rsidR="000A4E83" w:rsidRPr="001555C8" w:rsidTr="003809B6">
        <w:trPr>
          <w:cantSplit/>
        </w:trPr>
        <w:tc>
          <w:tcPr>
            <w:tcW w:w="9072" w:type="dxa"/>
          </w:tcPr>
          <w:p w:rsidR="000A4E83" w:rsidRPr="001555C8" w:rsidRDefault="00896579" w:rsidP="00D21CC7">
            <w:pPr>
              <w:pStyle w:val="Artikel"/>
              <w:tabs>
                <w:tab w:val="left" w:pos="199"/>
              </w:tabs>
              <w:rPr>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D21CC7" w:rsidRPr="001555C8">
              <w:rPr>
                <w:sz w:val="20"/>
              </w:rPr>
              <w:t>Das Gemeindeparlament der Stadt Olten</w:t>
            </w:r>
            <w:r w:rsidR="00FA1827" w:rsidRPr="001555C8">
              <w:rPr>
                <w:sz w:val="20"/>
              </w:rPr>
              <w:t xml:space="preserve"> legt die</w:t>
            </w:r>
            <w:r w:rsidR="000A4E83" w:rsidRPr="001555C8">
              <w:rPr>
                <w:sz w:val="20"/>
              </w:rPr>
              <w:t xml:space="preserve"> Bestimmungen über die Finanzierung fest.</w:t>
            </w:r>
          </w:p>
        </w:tc>
      </w:tr>
    </w:tbl>
    <w:p w:rsidR="00136217" w:rsidRPr="001555C8" w:rsidRDefault="00136217" w:rsidP="009F38F0">
      <w:pPr>
        <w:pStyle w:val="Textkrper"/>
      </w:pPr>
    </w:p>
    <w:p w:rsidR="009F38F0" w:rsidRPr="001555C8" w:rsidRDefault="009F38F0" w:rsidP="009F38F0">
      <w:pPr>
        <w:pStyle w:val="Textkrper"/>
      </w:pPr>
      <w:r w:rsidRPr="001555C8">
        <w:t xml:space="preserve">Aufgrund der eingangs erwähnten bundesrechtlichen Vorschrift darf bei </w:t>
      </w:r>
      <w:r w:rsidR="00D21CC7" w:rsidRPr="001555C8">
        <w:t>einer Vorsorgeei</w:t>
      </w:r>
      <w:r w:rsidR="00D21CC7" w:rsidRPr="001555C8">
        <w:t>n</w:t>
      </w:r>
      <w:r w:rsidR="00D21CC7" w:rsidRPr="001555C8">
        <w:t>richtung einer</w:t>
      </w:r>
      <w:r w:rsidRPr="001555C8">
        <w:t xml:space="preserve"> öffentlich-rechtlichen Körperschaft die Körperschaft, d.h. bei der </w:t>
      </w:r>
      <w:r w:rsidR="00151258" w:rsidRPr="001555C8">
        <w:t>PK Olten</w:t>
      </w:r>
      <w:r w:rsidRPr="001555C8">
        <w:t xml:space="preserve"> </w:t>
      </w:r>
      <w:r w:rsidR="00C97DFC" w:rsidRPr="001555C8">
        <w:t>das Gemeindeparlament</w:t>
      </w:r>
      <w:r w:rsidRPr="001555C8">
        <w:t xml:space="preserve">, nur noch entweder die Bestimmungen über die Leistungen oder diejenigen über die Finanzierung festlegen. In diesem Bericht ist unter </w:t>
      </w:r>
      <w:r w:rsidR="00D11328" w:rsidRPr="001555C8">
        <w:t xml:space="preserve">Kapitel </w:t>
      </w:r>
      <w:fldSimple w:instr=" REF _Ref337645182 \r \h  \* MERGEFORMAT ">
        <w:r w:rsidR="006674A1">
          <w:t>4.1.1</w:t>
        </w:r>
      </w:fldSimple>
      <w:r w:rsidRPr="001555C8">
        <w:t xml:space="preserve"> ausführlich dargelegt, wieso es die Finanzierung sein soll.</w:t>
      </w:r>
    </w:p>
    <w:p w:rsidR="000A4E83" w:rsidRPr="001555C8" w:rsidRDefault="00FA1827" w:rsidP="00895CEF">
      <w:pPr>
        <w:pStyle w:val="berschrift2"/>
        <w:numPr>
          <w:ilvl w:val="1"/>
          <w:numId w:val="17"/>
        </w:numPr>
        <w:tabs>
          <w:tab w:val="clear" w:pos="992"/>
          <w:tab w:val="clear" w:pos="1134"/>
        </w:tabs>
        <w:spacing w:before="480" w:after="120" w:line="240" w:lineRule="atLeast"/>
        <w:ind w:left="851" w:hanging="851"/>
        <w:textAlignment w:val="auto"/>
      </w:pPr>
      <w:bookmarkStart w:id="117" w:name="_Toc358786228"/>
      <w:r w:rsidRPr="001555C8">
        <w:t>Auflösung einer Anschlussvereinbarung</w:t>
      </w:r>
      <w:bookmarkEnd w:id="117"/>
    </w:p>
    <w:tbl>
      <w:tblPr>
        <w:tblW w:w="9072" w:type="dxa"/>
        <w:tblInd w:w="85" w:type="dxa"/>
        <w:tblLayout w:type="fixed"/>
        <w:tblCellMar>
          <w:left w:w="85" w:type="dxa"/>
          <w:right w:w="85" w:type="dxa"/>
        </w:tblCellMar>
        <w:tblLook w:val="04A0"/>
      </w:tblPr>
      <w:tblGrid>
        <w:gridCol w:w="9072"/>
      </w:tblGrid>
      <w:tr w:rsidR="000A4E83" w:rsidRPr="001555C8" w:rsidTr="003809B6">
        <w:trPr>
          <w:cantSplit/>
        </w:trPr>
        <w:tc>
          <w:tcPr>
            <w:tcW w:w="9072" w:type="dxa"/>
          </w:tcPr>
          <w:p w:rsidR="000A4E83" w:rsidRPr="001555C8" w:rsidRDefault="00896579" w:rsidP="00C97DFC">
            <w:pPr>
              <w:pStyle w:val="Artikel"/>
              <w:tabs>
                <w:tab w:val="left" w:pos="199"/>
              </w:tabs>
              <w:rPr>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Bei Auflösung einer Anschlussvereinbarung werden alle aktiven Versicherten sowie die rentenbeziehenden Personen an die neue Vorsorgeeinrichtung übertragen, ausser </w:t>
            </w:r>
            <w:r w:rsidR="00FA1827" w:rsidRPr="001555C8">
              <w:rPr>
                <w:sz w:val="20"/>
              </w:rPr>
              <w:t>die Pensionskommission</w:t>
            </w:r>
            <w:r w:rsidR="000A4E83" w:rsidRPr="001555C8">
              <w:rPr>
                <w:sz w:val="20"/>
              </w:rPr>
              <w:t xml:space="preserve"> beschliesse ein anderes Vorgehen. Ein Verbleib einzelner Versichertengru</w:t>
            </w:r>
            <w:r w:rsidR="000A4E83" w:rsidRPr="001555C8">
              <w:rPr>
                <w:sz w:val="20"/>
              </w:rPr>
              <w:t>p</w:t>
            </w:r>
            <w:r w:rsidR="000A4E83" w:rsidRPr="001555C8">
              <w:rPr>
                <w:sz w:val="20"/>
              </w:rPr>
              <w:t xml:space="preserve">pen oder der Rentenbeziehenden setzt die Abgeltung der versicherungstechnisch notwendigen Kosten per Austrittstag voraus, welche sich am aktuellen Zinsniveau orientieren. Die Modalitäten werden </w:t>
            </w:r>
            <w:r w:rsidR="00C97DFC" w:rsidRPr="001555C8">
              <w:rPr>
                <w:sz w:val="20"/>
              </w:rPr>
              <w:t>von der Pensionskommission</w:t>
            </w:r>
            <w:r w:rsidR="000A4E83" w:rsidRPr="001555C8">
              <w:rPr>
                <w:sz w:val="20"/>
              </w:rPr>
              <w:t xml:space="preserve"> auf Empfehlung der Expertin für berufliche Vorsorge nach fachmännischen Kriterien festgelegt.</w:t>
            </w:r>
            <w:r w:rsidR="000A4E83" w:rsidRPr="001555C8">
              <w:rPr>
                <w:sz w:val="18"/>
                <w:szCs w:val="18"/>
              </w:rPr>
              <w:t xml:space="preserve"> </w:t>
            </w:r>
          </w:p>
        </w:tc>
      </w:tr>
      <w:tr w:rsidR="000A4E83" w:rsidRPr="001555C8" w:rsidTr="003809B6">
        <w:trPr>
          <w:cantSplit/>
        </w:trPr>
        <w:tc>
          <w:tcPr>
            <w:tcW w:w="9072" w:type="dxa"/>
          </w:tcPr>
          <w:p w:rsidR="000A4E83" w:rsidRPr="001555C8" w:rsidRDefault="00896579">
            <w:pPr>
              <w:pStyle w:val="Artikel"/>
              <w:tabs>
                <w:tab w:val="left" w:pos="199"/>
              </w:tabs>
              <w:rPr>
                <w:sz w:val="18"/>
                <w:szCs w:val="18"/>
              </w:rPr>
            </w:pPr>
            <w:fldSimple w:instr=" SEQ Abs1 \* ARABIC \* MERGEFORMAT ">
              <w:r w:rsidR="006674A1" w:rsidRPr="006674A1">
                <w:rPr>
                  <w:noProof/>
                  <w:sz w:val="18"/>
                  <w:szCs w:val="18"/>
                  <w:vertAlign w:val="superscript"/>
                </w:rPr>
                <w:t>2</w:t>
              </w:r>
            </w:fldSimple>
            <w:r w:rsidR="000A4E83" w:rsidRPr="001555C8">
              <w:rPr>
                <w:sz w:val="18"/>
                <w:szCs w:val="18"/>
              </w:rPr>
              <w:tab/>
            </w:r>
            <w:r w:rsidR="000A4E83" w:rsidRPr="001555C8">
              <w:rPr>
                <w:sz w:val="20"/>
              </w:rPr>
              <w:t>Vorstehender Absatz gilt sinngemäss bei einer Restrukturierung oder erheblicher Verminderung eines Versichertenbestands, welcher den Tatbestand der Teilliquidation erfüllt.</w:t>
            </w:r>
          </w:p>
        </w:tc>
      </w:tr>
    </w:tbl>
    <w:p w:rsidR="00136217" w:rsidRPr="001555C8" w:rsidRDefault="00136217" w:rsidP="009F38F0">
      <w:pPr>
        <w:pStyle w:val="Textkrper"/>
      </w:pPr>
    </w:p>
    <w:p w:rsidR="000A4E83" w:rsidRPr="001555C8" w:rsidRDefault="009F38F0" w:rsidP="009F38F0">
      <w:pPr>
        <w:pStyle w:val="Textkrper"/>
      </w:pPr>
      <w:r w:rsidRPr="001555C8">
        <w:t xml:space="preserve">Die berufliche Vorsorge ist eine sozialpartnerschaftliche Institution, wo zwischen </w:t>
      </w:r>
      <w:proofErr w:type="spellStart"/>
      <w:r w:rsidR="00895CEF" w:rsidRPr="001555C8">
        <w:t>Arbeitnehmende</w:t>
      </w:r>
      <w:r w:rsidR="00067930" w:rsidRPr="001555C8">
        <w:t>n</w:t>
      </w:r>
      <w:proofErr w:type="spellEnd"/>
      <w:r w:rsidRPr="001555C8">
        <w:t xml:space="preserve">, Arbeitgeber und Rentenbeziehenden Solidaritäten spielen bzw. spielen müssen. Somit ist zu verhindern, dass bei einem Austritt eines Arbeitgebers die Rentenbeziehenden zurückgelassen werden und diese Solidarität dadurch durchbrochen wird. Mit diesem Absatz soll auch vermieden werden, dass die übrigen aktiven Versicherten </w:t>
      </w:r>
      <w:r w:rsidR="00C97DFC" w:rsidRPr="001555C8">
        <w:t>der</w:t>
      </w:r>
      <w:r w:rsidRPr="001555C8">
        <w:t xml:space="preserve"> Vorsorgeeinrichtung infolge Verbleibs der </w:t>
      </w:r>
      <w:r w:rsidR="00626F7D" w:rsidRPr="001555C8">
        <w:rPr>
          <w:lang w:eastAsia="de-CH"/>
        </w:rPr>
        <w:t xml:space="preserve">Rentenbeziehenden </w:t>
      </w:r>
      <w:r w:rsidRPr="001555C8">
        <w:t xml:space="preserve">neue Risiken aufgebürdet erhalten. Ein Verbleib der </w:t>
      </w:r>
      <w:r w:rsidR="00626F7D" w:rsidRPr="001555C8">
        <w:rPr>
          <w:lang w:eastAsia="de-CH"/>
        </w:rPr>
        <w:t xml:space="preserve">Rentenbeziehenden </w:t>
      </w:r>
      <w:r w:rsidRPr="001555C8">
        <w:t xml:space="preserve">bedingt somit nebst der Zustimmung </w:t>
      </w:r>
      <w:r w:rsidR="00FA1827" w:rsidRPr="001555C8">
        <w:t>der Pensionskommission</w:t>
      </w:r>
      <w:r w:rsidRPr="001555C8">
        <w:t xml:space="preserve"> die "korrekte" versicherungstechnische Finanzierung mit Blick auf das jeweils geltende Zinsniveau. </w:t>
      </w:r>
    </w:p>
    <w:p w:rsidR="000A4E83" w:rsidRPr="001555C8" w:rsidRDefault="000A4E83" w:rsidP="00786C73">
      <w:pPr>
        <w:pStyle w:val="AenderungbisherigenRechtsGesetzestitel"/>
        <w:numPr>
          <w:ilvl w:val="0"/>
          <w:numId w:val="25"/>
        </w:numPr>
        <w:ind w:left="709" w:hanging="709"/>
        <w:rPr>
          <w:sz w:val="24"/>
        </w:rPr>
      </w:pPr>
      <w:r w:rsidRPr="001555C8">
        <w:rPr>
          <w:sz w:val="28"/>
        </w:rPr>
        <w:br w:type="page"/>
      </w:r>
      <w:bookmarkStart w:id="118" w:name="_Toc333830149"/>
      <w:bookmarkStart w:id="119" w:name="_Toc334545146"/>
      <w:r w:rsidRPr="001555C8">
        <w:rPr>
          <w:sz w:val="24"/>
        </w:rPr>
        <w:t>Finanzierung</w:t>
      </w:r>
      <w:bookmarkEnd w:id="118"/>
      <w:r w:rsidRPr="001555C8">
        <w:rPr>
          <w:sz w:val="24"/>
        </w:rPr>
        <w:t xml:space="preserve">, </w:t>
      </w:r>
      <w:r w:rsidR="00A53761" w:rsidRPr="001555C8">
        <w:rPr>
          <w:sz w:val="24"/>
        </w:rPr>
        <w:t xml:space="preserve">Reserven und </w:t>
      </w:r>
      <w:r w:rsidRPr="001555C8">
        <w:rPr>
          <w:sz w:val="24"/>
        </w:rPr>
        <w:t>Staatsgarantie</w:t>
      </w:r>
      <w:bookmarkEnd w:id="119"/>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20" w:name="_Toc334545147"/>
      <w:bookmarkStart w:id="121" w:name="_Ref331429083"/>
      <w:bookmarkStart w:id="122" w:name="_Ref331428318"/>
      <w:bookmarkStart w:id="123" w:name="_Ref346003203"/>
      <w:bookmarkStart w:id="124" w:name="_Toc358786229"/>
      <w:r w:rsidRPr="001555C8">
        <w:t>Grundsatz</w:t>
      </w:r>
      <w:bookmarkEnd w:id="120"/>
      <w:bookmarkEnd w:id="121"/>
      <w:bookmarkEnd w:id="122"/>
      <w:bookmarkEnd w:id="123"/>
      <w:bookmarkEnd w:id="124"/>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vAlign w:val="center"/>
          </w:tcPr>
          <w:p w:rsidR="000A4E83" w:rsidRPr="001555C8" w:rsidRDefault="00896579" w:rsidP="000A177B">
            <w:pPr>
              <w:pStyle w:val="Artikel"/>
              <w:tabs>
                <w:tab w:val="left" w:pos="199"/>
              </w:tabs>
              <w:rPr>
                <w:sz w:val="18"/>
                <w:szCs w:val="18"/>
                <w:vertAlign w:val="superscript"/>
              </w:rPr>
            </w:pPr>
            <w:fldSimple w:instr=" SEQ Abs1 \r 1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Die </w:t>
            </w:r>
            <w:r w:rsidR="00151258" w:rsidRPr="001555C8">
              <w:rPr>
                <w:sz w:val="20"/>
              </w:rPr>
              <w:t>PK Olten</w:t>
            </w:r>
            <w:r w:rsidR="000A4E83" w:rsidRPr="001555C8">
              <w:rPr>
                <w:sz w:val="20"/>
              </w:rPr>
              <w:t xml:space="preserve"> wird nach den Grundsätzen der Bilanzierung in geschlossener Kasse und im System der Teilkapitalisierung </w:t>
            </w:r>
            <w:r w:rsidR="000A177B" w:rsidRPr="001555C8">
              <w:rPr>
                <w:sz w:val="20"/>
              </w:rPr>
              <w:t>geführt</w:t>
            </w:r>
            <w:r w:rsidR="0066344A" w:rsidRPr="001555C8">
              <w:rPr>
                <w:sz w:val="20"/>
              </w:rPr>
              <w:t>, mit dem Ziel eine Vollkapitalisierung zu erreichen</w:t>
            </w:r>
            <w:r w:rsidR="000A4E83" w:rsidRPr="001555C8">
              <w:rPr>
                <w:sz w:val="20"/>
              </w:rPr>
              <w:t>.</w:t>
            </w:r>
          </w:p>
        </w:tc>
      </w:tr>
      <w:tr w:rsidR="000A4E83" w:rsidRPr="001555C8" w:rsidTr="003809B6">
        <w:trPr>
          <w:cantSplit/>
          <w:trHeight w:val="400"/>
        </w:trPr>
        <w:tc>
          <w:tcPr>
            <w:tcW w:w="9072" w:type="dxa"/>
            <w:vAlign w:val="center"/>
          </w:tcPr>
          <w:p w:rsidR="000A4E83" w:rsidRPr="001555C8" w:rsidRDefault="00896579">
            <w:pPr>
              <w:pStyle w:val="Artikel"/>
              <w:tabs>
                <w:tab w:val="left" w:pos="199"/>
              </w:tabs>
              <w:rPr>
                <w:sz w:val="18"/>
                <w:szCs w:val="18"/>
                <w:vertAlign w:val="superscript"/>
              </w:rPr>
            </w:pPr>
            <w:fldSimple w:instr=" SEQ Abs1 \* ARABIC \* MERGEFORMAT ">
              <w:r w:rsidR="006674A1" w:rsidRPr="006674A1">
                <w:rPr>
                  <w:noProof/>
                  <w:color w:val="000000"/>
                  <w:sz w:val="18"/>
                  <w:szCs w:val="18"/>
                  <w:vertAlign w:val="superscript"/>
                </w:rPr>
                <w:t>2</w:t>
              </w:r>
            </w:fldSimple>
            <w:r w:rsidR="000A4E83" w:rsidRPr="001555C8">
              <w:rPr>
                <w:sz w:val="18"/>
                <w:szCs w:val="18"/>
              </w:rPr>
              <w:tab/>
            </w:r>
            <w:r w:rsidR="000A4E83" w:rsidRPr="001555C8">
              <w:rPr>
                <w:sz w:val="20"/>
              </w:rPr>
              <w:t>Die Finanzierung hat nach versicherungstechnischen Grundsätzen zu erfolgen. Sie hat zu gewährleisten, dass die Leistungen bei Fälligkeit erbracht werden können.</w:t>
            </w:r>
            <w:r w:rsidR="000A4E83" w:rsidRPr="001555C8">
              <w:rPr>
                <w:sz w:val="18"/>
                <w:szCs w:val="18"/>
              </w:rPr>
              <w:t xml:space="preserve"> </w:t>
            </w:r>
          </w:p>
        </w:tc>
      </w:tr>
      <w:bookmarkStart w:id="125" w:name="Halten_DG"/>
      <w:tr w:rsidR="0041483C" w:rsidRPr="001555C8" w:rsidTr="003809B6">
        <w:trPr>
          <w:cantSplit/>
          <w:trHeight w:val="400"/>
        </w:trPr>
        <w:tc>
          <w:tcPr>
            <w:tcW w:w="9072" w:type="dxa"/>
            <w:vAlign w:val="center"/>
          </w:tcPr>
          <w:p w:rsidR="0041483C" w:rsidRPr="001555C8" w:rsidRDefault="00896579" w:rsidP="00D21CC7">
            <w:pPr>
              <w:pStyle w:val="Artikel"/>
              <w:tabs>
                <w:tab w:val="left" w:pos="199"/>
              </w:tabs>
              <w:rPr>
                <w:color w:val="000000"/>
                <w:sz w:val="18"/>
                <w:szCs w:val="18"/>
                <w:vertAlign w:val="superscript"/>
              </w:rPr>
            </w:pPr>
            <w:r w:rsidRPr="001555C8">
              <w:rPr>
                <w:color w:val="000000"/>
                <w:sz w:val="18"/>
                <w:szCs w:val="18"/>
                <w:vertAlign w:val="superscript"/>
              </w:rPr>
              <w:fldChar w:fldCharType="begin"/>
            </w:r>
            <w:r w:rsidR="0041483C" w:rsidRPr="001555C8">
              <w:rPr>
                <w:color w:val="000000"/>
                <w:sz w:val="18"/>
                <w:szCs w:val="18"/>
                <w:vertAlign w:val="superscript"/>
              </w:rPr>
              <w:instrText xml:space="preserve"> SEQ Abs1 \* ARABIC \* MERGEFORMAT </w:instrText>
            </w:r>
            <w:r w:rsidRPr="001555C8">
              <w:rPr>
                <w:color w:val="000000"/>
                <w:sz w:val="18"/>
                <w:szCs w:val="18"/>
                <w:vertAlign w:val="superscript"/>
              </w:rPr>
              <w:fldChar w:fldCharType="separate"/>
            </w:r>
            <w:r w:rsidR="006674A1">
              <w:rPr>
                <w:noProof/>
                <w:color w:val="000000"/>
                <w:sz w:val="18"/>
                <w:szCs w:val="18"/>
                <w:vertAlign w:val="superscript"/>
              </w:rPr>
              <w:t>3</w:t>
            </w:r>
            <w:r w:rsidRPr="001555C8">
              <w:rPr>
                <w:color w:val="000000"/>
                <w:sz w:val="18"/>
                <w:szCs w:val="18"/>
                <w:vertAlign w:val="superscript"/>
              </w:rPr>
              <w:fldChar w:fldCharType="end"/>
            </w:r>
            <w:bookmarkEnd w:id="125"/>
            <w:r w:rsidR="0041483C" w:rsidRPr="001555C8">
              <w:rPr>
                <w:sz w:val="18"/>
                <w:szCs w:val="18"/>
              </w:rPr>
              <w:tab/>
            </w:r>
            <w:r w:rsidR="0041483C" w:rsidRPr="001555C8">
              <w:rPr>
                <w:sz w:val="20"/>
              </w:rPr>
              <w:t>Die Finanzierung hat sicherzustellen, dass ein einmal erreichter Deckungsgrad gehalten werden kann.</w:t>
            </w:r>
            <w:r w:rsidR="00656441" w:rsidRPr="001555C8">
              <w:rPr>
                <w:sz w:val="20"/>
              </w:rPr>
              <w:t xml:space="preserve"> Falls dies nicht mehr erfüllt sein sollte, hat die Pensionskommission eine Erhöhung der Beiträge zu beantragen oder die Leistungen zu kürzen.</w:t>
            </w:r>
          </w:p>
        </w:tc>
      </w:tr>
    </w:tbl>
    <w:p w:rsidR="00136217" w:rsidRPr="001555C8" w:rsidRDefault="00136217" w:rsidP="009F38F0">
      <w:pPr>
        <w:pStyle w:val="Textkrper"/>
      </w:pPr>
    </w:p>
    <w:p w:rsidR="009F38F0" w:rsidRPr="001555C8" w:rsidRDefault="009F38F0" w:rsidP="009F38F0">
      <w:pPr>
        <w:pStyle w:val="Textkrper"/>
      </w:pPr>
      <w:r w:rsidRPr="001555C8">
        <w:t xml:space="preserve">Der Grundsatz der Bilanzierung in geschlossener Kasse heisst, dass für die Berechnung der Vorsorgeverpflichtungen nur der aktuelle Versichertenbestand berücksichtigt werden darf. Der </w:t>
      </w:r>
      <w:r w:rsidR="0066344A" w:rsidRPr="001555C8">
        <w:t>Ziel</w:t>
      </w:r>
      <w:r w:rsidRPr="001555C8">
        <w:t xml:space="preserve"> der Vollkapitalisierung heisst, dass das </w:t>
      </w:r>
      <w:r w:rsidR="00A53761" w:rsidRPr="001555C8">
        <w:t xml:space="preserve">Vorsorgevermögen, d.h. nach Abzug der Wertschwankungsreserve, </w:t>
      </w:r>
      <w:r w:rsidRPr="001555C8">
        <w:t>mindestens so hoch sein muss wie die Vorsorgekapitalien und Rückstellun</w:t>
      </w:r>
      <w:r w:rsidR="0041483C" w:rsidRPr="001555C8">
        <w:t xml:space="preserve">gen, sodass freie Mittel erst vorliegen, wenn der Deckungsgrad ohne Anrechnung der Wertschwankungsreserve 100% beträgt und die Wertschwankungsreserve vollständig </w:t>
      </w:r>
      <w:proofErr w:type="spellStart"/>
      <w:r w:rsidR="0041483C" w:rsidRPr="001555C8">
        <w:t>geäufnet</w:t>
      </w:r>
      <w:proofErr w:type="spellEnd"/>
      <w:r w:rsidR="0041483C" w:rsidRPr="001555C8">
        <w:t xml:space="preserve"> ist. </w:t>
      </w:r>
      <w:r w:rsidRPr="001555C8">
        <w:t>Mit Absatz 2 wird verlangt, dass die Finanzierung der Leistungen versicherungstechnisch zu erfolgen hat. Somit wird ein Gleichgewicht zwischen Leistung und Finanzierung unter Berücksichtigung des "korrekten" technischen Zinssatzes vorausgesetzt.</w:t>
      </w:r>
      <w:r w:rsidR="00656441" w:rsidRPr="001555C8">
        <w:t xml:space="preserve"> Weiter soll ein einmal erreichter Deckungsgrad beibehalten werden. Falls die in den Beiträgen vorgesehene Marge dazu nicht mehr reicht, sind die Beiträge zu erhöhen oder die Leistungen zu kürzen. Eine Leistungskürzung steht insbesondere dann im Vordergrund, wenn </w:t>
      </w:r>
      <w:r w:rsidR="00C97DFC" w:rsidRPr="001555C8">
        <w:t>das Gemeindeparlament</w:t>
      </w:r>
      <w:r w:rsidR="00656441" w:rsidRPr="001555C8">
        <w:t xml:space="preserve"> der Beitragserhöhung nicht zustimmt.</w:t>
      </w:r>
    </w:p>
    <w:p w:rsidR="00A53761" w:rsidRPr="001555C8" w:rsidRDefault="00864D6E" w:rsidP="00895CEF">
      <w:pPr>
        <w:pStyle w:val="berschrift2"/>
        <w:numPr>
          <w:ilvl w:val="1"/>
          <w:numId w:val="17"/>
        </w:numPr>
        <w:tabs>
          <w:tab w:val="clear" w:pos="992"/>
          <w:tab w:val="clear" w:pos="1134"/>
        </w:tabs>
        <w:spacing w:before="480" w:after="120" w:line="240" w:lineRule="atLeast"/>
        <w:ind w:left="851" w:hanging="851"/>
        <w:textAlignment w:val="auto"/>
      </w:pPr>
      <w:bookmarkStart w:id="126" w:name="_Toc358786230"/>
      <w:r w:rsidRPr="001555C8">
        <w:t>Finanzierung</w:t>
      </w:r>
      <w:r w:rsidR="006F2763" w:rsidRPr="001555C8">
        <w:t xml:space="preserve"> per 31.12.</w:t>
      </w:r>
      <w:r w:rsidR="00D21CC7" w:rsidRPr="001555C8">
        <w:t>2013</w:t>
      </w:r>
      <w:bookmarkEnd w:id="126"/>
    </w:p>
    <w:tbl>
      <w:tblPr>
        <w:tblW w:w="9072" w:type="dxa"/>
        <w:tblInd w:w="85" w:type="dxa"/>
        <w:tblLayout w:type="fixed"/>
        <w:tblCellMar>
          <w:left w:w="85" w:type="dxa"/>
          <w:right w:w="85" w:type="dxa"/>
        </w:tblCellMar>
        <w:tblLook w:val="04A0"/>
      </w:tblPr>
      <w:tblGrid>
        <w:gridCol w:w="9072"/>
      </w:tblGrid>
      <w:tr w:rsidR="00A53761" w:rsidRPr="001555C8" w:rsidTr="003809B6">
        <w:trPr>
          <w:cantSplit/>
          <w:trHeight w:val="400"/>
        </w:trPr>
        <w:tc>
          <w:tcPr>
            <w:tcW w:w="9072" w:type="dxa"/>
            <w:vAlign w:val="center"/>
          </w:tcPr>
          <w:p w:rsidR="00A53761" w:rsidRPr="001555C8" w:rsidRDefault="00896579" w:rsidP="006F2763">
            <w:pPr>
              <w:pStyle w:val="Artikel"/>
              <w:tabs>
                <w:tab w:val="left" w:pos="199"/>
              </w:tabs>
              <w:rPr>
                <w:sz w:val="18"/>
                <w:szCs w:val="18"/>
                <w:vertAlign w:val="superscript"/>
              </w:rPr>
            </w:pPr>
            <w:fldSimple w:instr=" SEQ Abs1 \r 1 \* MERGEFORMAT ">
              <w:r w:rsidR="006674A1" w:rsidRPr="006674A1">
                <w:rPr>
                  <w:noProof/>
                  <w:sz w:val="18"/>
                  <w:szCs w:val="18"/>
                  <w:vertAlign w:val="superscript"/>
                </w:rPr>
                <w:t>1</w:t>
              </w:r>
            </w:fldSimple>
            <w:r w:rsidR="00A53761" w:rsidRPr="001555C8">
              <w:rPr>
                <w:sz w:val="18"/>
                <w:szCs w:val="18"/>
              </w:rPr>
              <w:tab/>
            </w:r>
            <w:r w:rsidR="00A53761" w:rsidRPr="001555C8">
              <w:rPr>
                <w:sz w:val="20"/>
              </w:rPr>
              <w:t xml:space="preserve">Die PK Olten </w:t>
            </w:r>
            <w:r w:rsidR="006F2763" w:rsidRPr="001555C8">
              <w:rPr>
                <w:sz w:val="20"/>
              </w:rPr>
              <w:t xml:space="preserve">ist per Ende 2013 </w:t>
            </w:r>
            <w:proofErr w:type="spellStart"/>
            <w:r w:rsidR="006F2763" w:rsidRPr="001555C8">
              <w:rPr>
                <w:sz w:val="20"/>
              </w:rPr>
              <w:t>auszufinanzieren</w:t>
            </w:r>
            <w:proofErr w:type="spellEnd"/>
            <w:r w:rsidR="00A53761" w:rsidRPr="001555C8">
              <w:rPr>
                <w:sz w:val="20"/>
              </w:rPr>
              <w:t>.</w:t>
            </w:r>
          </w:p>
        </w:tc>
      </w:tr>
      <w:tr w:rsidR="00A53761" w:rsidRPr="001555C8" w:rsidTr="003809B6">
        <w:trPr>
          <w:cantSplit/>
          <w:trHeight w:val="400"/>
        </w:trPr>
        <w:tc>
          <w:tcPr>
            <w:tcW w:w="9072" w:type="dxa"/>
            <w:vAlign w:val="center"/>
          </w:tcPr>
          <w:p w:rsidR="006F2763" w:rsidRPr="001555C8" w:rsidRDefault="00896579" w:rsidP="006F2763">
            <w:pPr>
              <w:pStyle w:val="Artikel"/>
              <w:tabs>
                <w:tab w:val="left" w:pos="199"/>
              </w:tabs>
              <w:rPr>
                <w:sz w:val="20"/>
              </w:rPr>
            </w:pPr>
            <w:fldSimple w:instr=" SEQ Abs1 \* ARABIC \* MERGEFORMAT ">
              <w:r w:rsidR="006674A1" w:rsidRPr="006674A1">
                <w:rPr>
                  <w:noProof/>
                  <w:color w:val="000000"/>
                  <w:sz w:val="18"/>
                  <w:szCs w:val="18"/>
                  <w:vertAlign w:val="superscript"/>
                </w:rPr>
                <w:t>2</w:t>
              </w:r>
            </w:fldSimple>
            <w:r w:rsidR="00A53761" w:rsidRPr="001555C8">
              <w:rPr>
                <w:sz w:val="18"/>
                <w:szCs w:val="18"/>
              </w:rPr>
              <w:tab/>
            </w:r>
            <w:r w:rsidR="006F2763" w:rsidRPr="001555C8">
              <w:rPr>
                <w:sz w:val="20"/>
              </w:rPr>
              <w:t xml:space="preserve">Der </w:t>
            </w:r>
            <w:proofErr w:type="spellStart"/>
            <w:r w:rsidR="006F2763" w:rsidRPr="001555C8">
              <w:rPr>
                <w:sz w:val="20"/>
              </w:rPr>
              <w:t>auszufinanzierende</w:t>
            </w:r>
            <w:proofErr w:type="spellEnd"/>
            <w:r w:rsidR="006F2763" w:rsidRPr="001555C8">
              <w:rPr>
                <w:sz w:val="20"/>
              </w:rPr>
              <w:t xml:space="preserve"> Betrag setzt sich zusammen aus</w:t>
            </w:r>
          </w:p>
          <w:p w:rsidR="006F2763" w:rsidRPr="001555C8" w:rsidRDefault="006F2763" w:rsidP="00786C73">
            <w:pPr>
              <w:pStyle w:val="Artikel"/>
              <w:numPr>
                <w:ilvl w:val="0"/>
                <w:numId w:val="20"/>
              </w:numPr>
              <w:tabs>
                <w:tab w:val="clear" w:pos="284"/>
                <w:tab w:val="left" w:pos="199"/>
              </w:tabs>
              <w:rPr>
                <w:sz w:val="20"/>
              </w:rPr>
            </w:pPr>
            <w:r w:rsidRPr="001555C8">
              <w:rPr>
                <w:sz w:val="20"/>
              </w:rPr>
              <w:t>dem versicherungstechnischen Fehlbetrag, gemäss Jahre</w:t>
            </w:r>
            <w:r w:rsidR="00C379D7">
              <w:rPr>
                <w:sz w:val="20"/>
              </w:rPr>
              <w:t>srechnung per 31. Dezember 2013;</w:t>
            </w:r>
          </w:p>
          <w:p w:rsidR="00A53761" w:rsidRPr="001555C8" w:rsidRDefault="006F2763" w:rsidP="00152C40">
            <w:pPr>
              <w:pStyle w:val="Artikel"/>
              <w:numPr>
                <w:ilvl w:val="0"/>
                <w:numId w:val="20"/>
              </w:numPr>
              <w:tabs>
                <w:tab w:val="clear" w:pos="284"/>
                <w:tab w:val="left" w:pos="199"/>
              </w:tabs>
              <w:rPr>
                <w:sz w:val="18"/>
                <w:szCs w:val="18"/>
              </w:rPr>
            </w:pPr>
            <w:r w:rsidRPr="001555C8">
              <w:rPr>
                <w:sz w:val="20"/>
              </w:rPr>
              <w:t xml:space="preserve">den Kosten </w:t>
            </w:r>
            <w:r w:rsidR="00CB30EF" w:rsidRPr="001555C8">
              <w:rPr>
                <w:sz w:val="20"/>
              </w:rPr>
              <w:t>der</w:t>
            </w:r>
            <w:r w:rsidRPr="001555C8">
              <w:rPr>
                <w:sz w:val="20"/>
              </w:rPr>
              <w:t xml:space="preserve"> </w:t>
            </w:r>
            <w:proofErr w:type="spellStart"/>
            <w:r w:rsidRPr="001555C8">
              <w:rPr>
                <w:sz w:val="20"/>
              </w:rPr>
              <w:t>Besitzstandsregelung</w:t>
            </w:r>
            <w:proofErr w:type="spellEnd"/>
            <w:r w:rsidRPr="001555C8">
              <w:rPr>
                <w:sz w:val="20"/>
              </w:rPr>
              <w:t xml:space="preserve"> </w:t>
            </w:r>
            <w:r w:rsidR="00F40B3A" w:rsidRPr="001555C8">
              <w:rPr>
                <w:sz w:val="20"/>
              </w:rPr>
              <w:t>aufgrund der</w:t>
            </w:r>
            <w:r w:rsidRPr="001555C8">
              <w:rPr>
                <w:sz w:val="20"/>
              </w:rPr>
              <w:t xml:space="preserve"> </w:t>
            </w:r>
            <w:r w:rsidR="00CB30EF" w:rsidRPr="001555C8">
              <w:rPr>
                <w:sz w:val="20"/>
              </w:rPr>
              <w:t>Erhöhung des Rücktrittsalters auf 65 Jahre</w:t>
            </w:r>
            <w:r w:rsidR="00152C40" w:rsidRPr="001555C8">
              <w:rPr>
                <w:sz w:val="20"/>
              </w:rPr>
              <w:t>.</w:t>
            </w:r>
          </w:p>
        </w:tc>
      </w:tr>
      <w:tr w:rsidR="00CB30EF" w:rsidRPr="001555C8" w:rsidTr="003809B6">
        <w:trPr>
          <w:cantSplit/>
          <w:trHeight w:val="400"/>
        </w:trPr>
        <w:tc>
          <w:tcPr>
            <w:tcW w:w="9072" w:type="dxa"/>
            <w:vAlign w:val="center"/>
          </w:tcPr>
          <w:p w:rsidR="00CB30EF" w:rsidRPr="001555C8" w:rsidRDefault="00896579" w:rsidP="00864D6E">
            <w:pPr>
              <w:pStyle w:val="Artikel"/>
              <w:tabs>
                <w:tab w:val="left" w:pos="199"/>
              </w:tabs>
              <w:rPr>
                <w:color w:val="000000"/>
                <w:sz w:val="18"/>
                <w:szCs w:val="18"/>
                <w:vertAlign w:val="superscript"/>
              </w:rPr>
            </w:pPr>
            <w:fldSimple w:instr=" SEQ Abs1 \* ARABIC \* MERGEFORMAT ">
              <w:r w:rsidR="006674A1" w:rsidRPr="006674A1">
                <w:rPr>
                  <w:noProof/>
                  <w:color w:val="000000"/>
                  <w:sz w:val="18"/>
                  <w:szCs w:val="18"/>
                  <w:vertAlign w:val="superscript"/>
                </w:rPr>
                <w:t>3</w:t>
              </w:r>
            </w:fldSimple>
            <w:r w:rsidR="00CB30EF" w:rsidRPr="001555C8">
              <w:rPr>
                <w:sz w:val="18"/>
                <w:szCs w:val="18"/>
              </w:rPr>
              <w:tab/>
            </w:r>
            <w:r w:rsidR="00CB30EF" w:rsidRPr="001555C8">
              <w:rPr>
                <w:sz w:val="20"/>
              </w:rPr>
              <w:t xml:space="preserve">Vom </w:t>
            </w:r>
            <w:r w:rsidR="00864D6E" w:rsidRPr="001555C8">
              <w:rPr>
                <w:sz w:val="20"/>
              </w:rPr>
              <w:t xml:space="preserve">unter Einrechnung der Ausfinanzierung bestimmten </w:t>
            </w:r>
            <w:r w:rsidR="00F40B3A" w:rsidRPr="001555C8">
              <w:rPr>
                <w:sz w:val="20"/>
              </w:rPr>
              <w:t>Vorsorgevermögen Ende 2013</w:t>
            </w:r>
            <w:r w:rsidR="00CB30EF" w:rsidRPr="001555C8">
              <w:rPr>
                <w:sz w:val="20"/>
              </w:rPr>
              <w:t xml:space="preserve"> sind 20% als Wert</w:t>
            </w:r>
            <w:r w:rsidR="005A5E35" w:rsidRPr="001555C8">
              <w:rPr>
                <w:sz w:val="20"/>
              </w:rPr>
              <w:t>schwankungs</w:t>
            </w:r>
            <w:r w:rsidR="00F40B3A" w:rsidRPr="001555C8">
              <w:rPr>
                <w:sz w:val="20"/>
              </w:rPr>
              <w:t xml:space="preserve">- und Umlageschwankungsreserve einzustellen, sodass der </w:t>
            </w:r>
            <w:r w:rsidR="00835581" w:rsidRPr="001555C8">
              <w:rPr>
                <w:sz w:val="20"/>
              </w:rPr>
              <w:t xml:space="preserve">globale Ausgangsdeckungsgrad (aktive Versicherte und </w:t>
            </w:r>
            <w:r w:rsidR="00626F7D" w:rsidRPr="001555C8">
              <w:rPr>
                <w:sz w:val="20"/>
              </w:rPr>
              <w:t>Rentenbeziehende</w:t>
            </w:r>
            <w:r w:rsidR="00835581" w:rsidRPr="001555C8">
              <w:rPr>
                <w:sz w:val="20"/>
              </w:rPr>
              <w:t>)</w:t>
            </w:r>
            <w:r w:rsidR="00F40B3A" w:rsidRPr="001555C8">
              <w:rPr>
                <w:sz w:val="20"/>
              </w:rPr>
              <w:t xml:space="preserve"> 80% beträgt.</w:t>
            </w:r>
            <w:r w:rsidR="00152C40" w:rsidRPr="001555C8">
              <w:rPr>
                <w:sz w:val="20"/>
              </w:rPr>
              <w:t xml:space="preserve"> </w:t>
            </w:r>
          </w:p>
        </w:tc>
      </w:tr>
      <w:tr w:rsidR="00F40B3A" w:rsidRPr="001555C8" w:rsidTr="003809B6">
        <w:trPr>
          <w:cantSplit/>
          <w:trHeight w:val="400"/>
        </w:trPr>
        <w:tc>
          <w:tcPr>
            <w:tcW w:w="9072" w:type="dxa"/>
            <w:vAlign w:val="center"/>
          </w:tcPr>
          <w:p w:rsidR="00F40B3A" w:rsidRPr="001555C8" w:rsidRDefault="00896579" w:rsidP="00D21CC7">
            <w:pPr>
              <w:pStyle w:val="Artikel"/>
              <w:tabs>
                <w:tab w:val="left" w:pos="199"/>
              </w:tabs>
              <w:rPr>
                <w:color w:val="000000"/>
                <w:sz w:val="18"/>
                <w:szCs w:val="18"/>
                <w:vertAlign w:val="superscript"/>
              </w:rPr>
            </w:pPr>
            <w:fldSimple w:instr=" SEQ Abs1 \* ARABIC \* MERGEFORMAT ">
              <w:r w:rsidR="006674A1" w:rsidRPr="006674A1">
                <w:rPr>
                  <w:noProof/>
                  <w:color w:val="000000"/>
                  <w:sz w:val="18"/>
                  <w:szCs w:val="18"/>
                  <w:vertAlign w:val="superscript"/>
                </w:rPr>
                <w:t>4</w:t>
              </w:r>
            </w:fldSimple>
            <w:r w:rsidR="00F40B3A" w:rsidRPr="001555C8">
              <w:rPr>
                <w:sz w:val="18"/>
                <w:szCs w:val="18"/>
              </w:rPr>
              <w:tab/>
            </w:r>
            <w:r w:rsidR="00F40B3A" w:rsidRPr="001555C8">
              <w:rPr>
                <w:sz w:val="20"/>
              </w:rPr>
              <w:t xml:space="preserve">Massgebend für den vom einzelnen </w:t>
            </w:r>
            <w:proofErr w:type="spellStart"/>
            <w:r w:rsidR="00F40B3A" w:rsidRPr="001555C8">
              <w:rPr>
                <w:sz w:val="20"/>
              </w:rPr>
              <w:t>Arbeitgebenden</w:t>
            </w:r>
            <w:proofErr w:type="spellEnd"/>
            <w:r w:rsidR="00F40B3A" w:rsidRPr="001555C8">
              <w:rPr>
                <w:sz w:val="20"/>
              </w:rPr>
              <w:t xml:space="preserve"> zu übernehmenden Anteil der Kosten der Ausfinanzierung ist das Verhältnis der Vorsorgekapitalien und technischen Rückstellungen </w:t>
            </w:r>
            <w:r w:rsidR="00E323DB" w:rsidRPr="001555C8">
              <w:rPr>
                <w:sz w:val="20"/>
              </w:rPr>
              <w:t>seiner</w:t>
            </w:r>
            <w:r w:rsidR="00F40B3A" w:rsidRPr="001555C8">
              <w:rPr>
                <w:sz w:val="20"/>
              </w:rPr>
              <w:t xml:space="preserve"> Destinatäre zum gesamten Vorsorgekapital und technischen Rückstellungen per </w:t>
            </w:r>
            <w:r w:rsidR="00D21CC7" w:rsidRPr="001555C8">
              <w:rPr>
                <w:sz w:val="20"/>
              </w:rPr>
              <w:t>31.12.</w:t>
            </w:r>
            <w:r w:rsidR="00F40B3A" w:rsidRPr="001555C8">
              <w:rPr>
                <w:sz w:val="20"/>
              </w:rPr>
              <w:t>2013.</w:t>
            </w:r>
          </w:p>
        </w:tc>
      </w:tr>
      <w:tr w:rsidR="00F40B3A" w:rsidRPr="001555C8" w:rsidTr="003809B6">
        <w:trPr>
          <w:cantSplit/>
          <w:trHeight w:val="400"/>
        </w:trPr>
        <w:tc>
          <w:tcPr>
            <w:tcW w:w="9072" w:type="dxa"/>
            <w:vAlign w:val="center"/>
          </w:tcPr>
          <w:p w:rsidR="00F40B3A" w:rsidRPr="001555C8" w:rsidRDefault="00896579" w:rsidP="0041483C">
            <w:pPr>
              <w:tabs>
                <w:tab w:val="left" w:pos="230"/>
              </w:tabs>
              <w:overflowPunct/>
              <w:spacing w:after="120" w:line="240" w:lineRule="atLeast"/>
              <w:jc w:val="both"/>
              <w:textAlignment w:val="auto"/>
              <w:rPr>
                <w:rFonts w:cs="Arial"/>
                <w:sz w:val="18"/>
                <w:szCs w:val="18"/>
              </w:rPr>
            </w:pPr>
            <w:fldSimple w:instr=" SEQ Abs1 \* ARABIC \* MERGEFORMAT ">
              <w:r w:rsidR="006674A1" w:rsidRPr="006674A1">
                <w:rPr>
                  <w:noProof/>
                  <w:color w:val="000000"/>
                  <w:sz w:val="18"/>
                  <w:szCs w:val="18"/>
                  <w:vertAlign w:val="superscript"/>
                </w:rPr>
                <w:t>5</w:t>
              </w:r>
            </w:fldSimple>
            <w:r w:rsidR="00F40B3A" w:rsidRPr="001555C8">
              <w:rPr>
                <w:sz w:val="18"/>
                <w:szCs w:val="18"/>
              </w:rPr>
              <w:tab/>
            </w:r>
            <w:r w:rsidR="00F40B3A" w:rsidRPr="001555C8">
              <w:rPr>
                <w:rFonts w:cs="Arial"/>
                <w:sz w:val="20"/>
              </w:rPr>
              <w:t xml:space="preserve">Die angeschlossenen </w:t>
            </w:r>
            <w:proofErr w:type="spellStart"/>
            <w:r w:rsidR="00F40B3A" w:rsidRPr="001555C8">
              <w:rPr>
                <w:rFonts w:cs="Arial"/>
                <w:sz w:val="20"/>
              </w:rPr>
              <w:t>Arbeitgebenden</w:t>
            </w:r>
            <w:proofErr w:type="spellEnd"/>
            <w:r w:rsidR="00F40B3A" w:rsidRPr="001555C8">
              <w:rPr>
                <w:rFonts w:cs="Arial"/>
                <w:sz w:val="20"/>
              </w:rPr>
              <w:t xml:space="preserve"> anerkennen den auf sie entfallenden Betrag als Forderung der PK Olten.</w:t>
            </w:r>
          </w:p>
        </w:tc>
      </w:tr>
      <w:tr w:rsidR="0041483C" w:rsidRPr="001555C8" w:rsidTr="003809B6">
        <w:trPr>
          <w:cantSplit/>
          <w:trHeight w:val="400"/>
        </w:trPr>
        <w:tc>
          <w:tcPr>
            <w:tcW w:w="9072" w:type="dxa"/>
            <w:vAlign w:val="center"/>
          </w:tcPr>
          <w:p w:rsidR="0041483C" w:rsidRPr="001555C8" w:rsidRDefault="00896579" w:rsidP="00173541">
            <w:pPr>
              <w:tabs>
                <w:tab w:val="left" w:pos="230"/>
              </w:tabs>
              <w:overflowPunct/>
              <w:spacing w:after="120" w:line="240" w:lineRule="atLeast"/>
              <w:jc w:val="both"/>
              <w:textAlignment w:val="auto"/>
              <w:rPr>
                <w:color w:val="000000"/>
                <w:sz w:val="18"/>
                <w:szCs w:val="18"/>
                <w:vertAlign w:val="superscript"/>
              </w:rPr>
            </w:pPr>
            <w:fldSimple w:instr=" SEQ Abs1 \* ARABIC \* MERGEFORMAT ">
              <w:r w:rsidR="006674A1" w:rsidRPr="006674A1">
                <w:rPr>
                  <w:noProof/>
                  <w:color w:val="000000"/>
                  <w:sz w:val="18"/>
                  <w:szCs w:val="18"/>
                  <w:vertAlign w:val="superscript"/>
                </w:rPr>
                <w:t>6</w:t>
              </w:r>
            </w:fldSimple>
            <w:r w:rsidR="0041483C" w:rsidRPr="001555C8">
              <w:rPr>
                <w:sz w:val="18"/>
                <w:szCs w:val="18"/>
              </w:rPr>
              <w:tab/>
            </w:r>
            <w:r w:rsidR="0041483C" w:rsidRPr="001555C8">
              <w:rPr>
                <w:rFonts w:cs="Arial"/>
                <w:sz w:val="20"/>
              </w:rPr>
              <w:t xml:space="preserve">Die Forderung ist </w:t>
            </w:r>
            <w:r w:rsidR="00D21CC7" w:rsidRPr="001555C8">
              <w:rPr>
                <w:rFonts w:cs="Arial"/>
                <w:sz w:val="20"/>
              </w:rPr>
              <w:t>mittels Annuitäten</w:t>
            </w:r>
            <w:r w:rsidR="0041483C" w:rsidRPr="001555C8">
              <w:rPr>
                <w:rFonts w:cs="Arial"/>
                <w:sz w:val="20"/>
              </w:rPr>
              <w:t xml:space="preserve"> in spätestens </w:t>
            </w:r>
            <w:r w:rsidR="00173541" w:rsidRPr="001555C8">
              <w:rPr>
                <w:rFonts w:cs="Arial"/>
                <w:sz w:val="20"/>
              </w:rPr>
              <w:t>30</w:t>
            </w:r>
            <w:r w:rsidR="0041483C" w:rsidRPr="001555C8">
              <w:rPr>
                <w:rFonts w:cs="Arial"/>
                <w:sz w:val="20"/>
              </w:rPr>
              <w:t xml:space="preserve"> Jahren zu amortisieren.</w:t>
            </w:r>
          </w:p>
        </w:tc>
      </w:tr>
      <w:tr w:rsidR="0041483C" w:rsidRPr="001555C8" w:rsidTr="003809B6">
        <w:trPr>
          <w:cantSplit/>
          <w:trHeight w:val="400"/>
        </w:trPr>
        <w:tc>
          <w:tcPr>
            <w:tcW w:w="9072" w:type="dxa"/>
            <w:vAlign w:val="center"/>
          </w:tcPr>
          <w:p w:rsidR="0041483C" w:rsidRPr="001555C8" w:rsidRDefault="00896579" w:rsidP="00C454E3">
            <w:pPr>
              <w:tabs>
                <w:tab w:val="left" w:pos="230"/>
              </w:tabs>
              <w:overflowPunct/>
              <w:spacing w:after="120" w:line="240" w:lineRule="atLeast"/>
              <w:jc w:val="both"/>
              <w:textAlignment w:val="auto"/>
              <w:rPr>
                <w:color w:val="000000"/>
                <w:sz w:val="18"/>
                <w:szCs w:val="18"/>
                <w:vertAlign w:val="superscript"/>
              </w:rPr>
            </w:pPr>
            <w:fldSimple w:instr=" SEQ Abs1 \* ARABIC \* MERGEFORMAT ">
              <w:r w:rsidR="006674A1" w:rsidRPr="006674A1">
                <w:rPr>
                  <w:noProof/>
                  <w:color w:val="000000"/>
                  <w:sz w:val="18"/>
                  <w:szCs w:val="18"/>
                  <w:vertAlign w:val="superscript"/>
                </w:rPr>
                <w:t>7</w:t>
              </w:r>
            </w:fldSimple>
            <w:r w:rsidR="0041483C" w:rsidRPr="001555C8">
              <w:rPr>
                <w:sz w:val="18"/>
                <w:szCs w:val="18"/>
              </w:rPr>
              <w:tab/>
            </w:r>
            <w:r w:rsidR="0041483C" w:rsidRPr="001555C8">
              <w:rPr>
                <w:rFonts w:cs="Arial"/>
                <w:sz w:val="20"/>
              </w:rPr>
              <w:t xml:space="preserve">Die Forderung wird mit dem </w:t>
            </w:r>
            <w:r w:rsidR="005A5E35" w:rsidRPr="001555C8">
              <w:rPr>
                <w:rFonts w:cs="Arial"/>
                <w:sz w:val="20"/>
              </w:rPr>
              <w:t xml:space="preserve">um 0.5 Prozentpunkte erhöhten </w:t>
            </w:r>
            <w:r w:rsidR="0041483C" w:rsidRPr="001555C8">
              <w:rPr>
                <w:rFonts w:cs="Arial"/>
                <w:sz w:val="20"/>
              </w:rPr>
              <w:t>technischen Zinssatz verzinst.</w:t>
            </w:r>
          </w:p>
        </w:tc>
      </w:tr>
      <w:tr w:rsidR="00835581" w:rsidRPr="001555C8" w:rsidTr="003809B6">
        <w:trPr>
          <w:cantSplit/>
          <w:trHeight w:val="400"/>
        </w:trPr>
        <w:tc>
          <w:tcPr>
            <w:tcW w:w="9072" w:type="dxa"/>
            <w:vAlign w:val="center"/>
          </w:tcPr>
          <w:p w:rsidR="00835581" w:rsidRPr="001555C8" w:rsidRDefault="00896579" w:rsidP="00835581">
            <w:pPr>
              <w:tabs>
                <w:tab w:val="left" w:pos="230"/>
              </w:tabs>
              <w:overflowPunct/>
              <w:spacing w:after="120" w:line="240" w:lineRule="atLeast"/>
              <w:jc w:val="both"/>
              <w:textAlignment w:val="auto"/>
              <w:rPr>
                <w:color w:val="000000"/>
                <w:sz w:val="18"/>
                <w:szCs w:val="18"/>
                <w:vertAlign w:val="superscript"/>
              </w:rPr>
            </w:pPr>
            <w:fldSimple w:instr=" SEQ Abs1 \* ARABIC \* MERGEFORMAT ">
              <w:r w:rsidR="006674A1" w:rsidRPr="006674A1">
                <w:rPr>
                  <w:noProof/>
                  <w:color w:val="000000"/>
                  <w:sz w:val="18"/>
                  <w:szCs w:val="18"/>
                  <w:vertAlign w:val="superscript"/>
                </w:rPr>
                <w:t>8</w:t>
              </w:r>
            </w:fldSimple>
            <w:r w:rsidR="00835581" w:rsidRPr="001555C8">
              <w:rPr>
                <w:sz w:val="18"/>
                <w:szCs w:val="18"/>
              </w:rPr>
              <w:tab/>
            </w:r>
            <w:r w:rsidR="00835581" w:rsidRPr="001555C8">
              <w:rPr>
                <w:rFonts w:cs="Arial"/>
                <w:sz w:val="20"/>
              </w:rPr>
              <w:t>Freie Mittel sind zur Verkürzung der Amortisationsdauer zu verwenden.</w:t>
            </w:r>
          </w:p>
        </w:tc>
      </w:tr>
    </w:tbl>
    <w:p w:rsidR="00FD3B1E" w:rsidRPr="001555C8" w:rsidRDefault="00835581" w:rsidP="00A53761">
      <w:pPr>
        <w:pStyle w:val="Textkrper"/>
      </w:pPr>
      <w:r w:rsidRPr="001555C8">
        <w:t xml:space="preserve">Ende 2013 soll der Deckungsgrad </w:t>
      </w:r>
      <w:r w:rsidR="00D21CC7" w:rsidRPr="001555C8">
        <w:t xml:space="preserve">ohne Berücksichtigung der </w:t>
      </w:r>
      <w:r w:rsidR="00BE04B2" w:rsidRPr="001555C8">
        <w:t>Wertschwankungs- und Umlageschwankungsreserve</w:t>
      </w:r>
      <w:r w:rsidR="00BE04B2" w:rsidRPr="001555C8">
        <w:rPr>
          <w:lang w:eastAsia="de-CH"/>
        </w:rPr>
        <w:t xml:space="preserve"> </w:t>
      </w:r>
      <w:r w:rsidRPr="001555C8">
        <w:t>100% betragen</w:t>
      </w:r>
      <w:r w:rsidR="00864D6E" w:rsidRPr="001555C8">
        <w:t>, sodass faktisch eine Ausfinanzierung erfolgt</w:t>
      </w:r>
      <w:r w:rsidRPr="001555C8">
        <w:t>.</w:t>
      </w:r>
      <w:r w:rsidR="00864D6E" w:rsidRPr="001555C8">
        <w:t xml:space="preserve"> Um die Kasse auf eine stabile Basis zu stelle, soll nun aber eine </w:t>
      </w:r>
      <w:r w:rsidR="00864D6E" w:rsidRPr="001555C8">
        <w:rPr>
          <w:lang w:eastAsia="de-CH"/>
        </w:rPr>
        <w:t xml:space="preserve">Wertschwankungs- und Umlageschwankungsreserve vorgesehen werden. </w:t>
      </w:r>
      <w:r w:rsidR="00D21CC7" w:rsidRPr="001555C8">
        <w:t xml:space="preserve">Nach Abzug </w:t>
      </w:r>
      <w:r w:rsidR="00864D6E" w:rsidRPr="001555C8">
        <w:t>dieser</w:t>
      </w:r>
      <w:r w:rsidR="00D21CC7" w:rsidRPr="001555C8">
        <w:t xml:space="preserve"> </w:t>
      </w:r>
      <w:r w:rsidR="00BE04B2" w:rsidRPr="001555C8">
        <w:rPr>
          <w:lang w:eastAsia="de-CH"/>
        </w:rPr>
        <w:t>Wertschwankungs- und Umlageschwankungsreserve</w:t>
      </w:r>
      <w:r w:rsidR="00DD0BFC" w:rsidRPr="001555C8">
        <w:rPr>
          <w:lang w:eastAsia="de-CH"/>
        </w:rPr>
        <w:t xml:space="preserve"> in Höhe </w:t>
      </w:r>
      <w:r w:rsidR="00D21CC7" w:rsidRPr="001555C8">
        <w:t>von 20 %-</w:t>
      </w:r>
      <w:proofErr w:type="spellStart"/>
      <w:r w:rsidR="00D21CC7" w:rsidRPr="001555C8">
        <w:t>Pt</w:t>
      </w:r>
      <w:proofErr w:type="spellEnd"/>
      <w:r w:rsidR="00D21CC7" w:rsidRPr="001555C8">
        <w:t>. beläuft sich der Deckungsgrad auf 80%.</w:t>
      </w:r>
      <w:r w:rsidRPr="001555C8">
        <w:t xml:space="preserve"> Die </w:t>
      </w:r>
      <w:r w:rsidR="00F72D10" w:rsidRPr="001555C8">
        <w:t>Finanzierung</w:t>
      </w:r>
      <w:r w:rsidRPr="001555C8">
        <w:t xml:space="preserve"> soll über eine Schuldanerkennung erfolgen, welche über höchstens </w:t>
      </w:r>
      <w:r w:rsidR="00173541" w:rsidRPr="001555C8">
        <w:t>3</w:t>
      </w:r>
      <w:r w:rsidRPr="001555C8">
        <w:t xml:space="preserve">0 </w:t>
      </w:r>
      <w:r w:rsidR="00D21CC7" w:rsidRPr="001555C8">
        <w:t xml:space="preserve">Annuitäten </w:t>
      </w:r>
      <w:r w:rsidRPr="001555C8">
        <w:t xml:space="preserve">amortisiert werden soll. Diese Massnahme trägt zur Stabilisierung der Kasse bei, indem das Vermögen nicht auf einmal investiert werden muss. Es besteht also eine Diversifikation des Investitionszeitpunkts. Um für die Stadt Olten wie auch für die übrigen Anschlüsse eine hohe Flexibilität zu erhalten, sind auch kürzere Amortisationsfristen möglich. Weiter wird geregelt, wie der </w:t>
      </w:r>
      <w:proofErr w:type="spellStart"/>
      <w:r w:rsidRPr="001555C8">
        <w:t>auszufinanzierende</w:t>
      </w:r>
      <w:proofErr w:type="spellEnd"/>
      <w:r w:rsidRPr="001555C8">
        <w:t xml:space="preserve"> Betrag auf die einzelnen Anschlüsse verteilt wird und dass freie Mittel nicht zu Leistungsverbesserung sondern zur Verkürzung der Amortisationsdauer verwendet werden, indem sie die Forderung vermindern. </w:t>
      </w:r>
    </w:p>
    <w:p w:rsidR="00D37E88" w:rsidRPr="001555C8" w:rsidRDefault="00D37E88" w:rsidP="00D37E88">
      <w:pPr>
        <w:pStyle w:val="berschrift2"/>
        <w:numPr>
          <w:ilvl w:val="1"/>
          <w:numId w:val="17"/>
        </w:numPr>
        <w:tabs>
          <w:tab w:val="clear" w:pos="992"/>
          <w:tab w:val="clear" w:pos="1134"/>
        </w:tabs>
        <w:spacing w:before="480" w:after="120" w:line="240" w:lineRule="atLeast"/>
        <w:ind w:left="851" w:hanging="851"/>
        <w:textAlignment w:val="auto"/>
      </w:pPr>
      <w:bookmarkStart w:id="127" w:name="_Toc358786231"/>
      <w:r w:rsidRPr="001555C8">
        <w:t>Beiträge</w:t>
      </w:r>
      <w:bookmarkEnd w:id="127"/>
      <w:r w:rsidRPr="001555C8">
        <w:t xml:space="preserve"> </w:t>
      </w:r>
    </w:p>
    <w:tbl>
      <w:tblPr>
        <w:tblW w:w="9072" w:type="dxa"/>
        <w:tblInd w:w="85" w:type="dxa"/>
        <w:tblLayout w:type="fixed"/>
        <w:tblCellMar>
          <w:left w:w="85" w:type="dxa"/>
          <w:right w:w="85" w:type="dxa"/>
        </w:tblCellMar>
        <w:tblLook w:val="04A0"/>
      </w:tblPr>
      <w:tblGrid>
        <w:gridCol w:w="9072"/>
      </w:tblGrid>
      <w:tr w:rsidR="00D37E88" w:rsidRPr="001555C8" w:rsidTr="00D37E88">
        <w:trPr>
          <w:cantSplit/>
          <w:trHeight w:val="400"/>
        </w:trPr>
        <w:tc>
          <w:tcPr>
            <w:tcW w:w="9072" w:type="dxa"/>
            <w:vAlign w:val="center"/>
          </w:tcPr>
          <w:p w:rsidR="00D37E88" w:rsidRPr="001555C8" w:rsidRDefault="00896579" w:rsidP="005A5E35">
            <w:pPr>
              <w:pStyle w:val="Artikel"/>
              <w:numPr>
                <w:ilvl w:val="0"/>
                <w:numId w:val="0"/>
              </w:numPr>
              <w:rPr>
                <w:sz w:val="18"/>
                <w:szCs w:val="18"/>
              </w:rPr>
            </w:pPr>
            <w:fldSimple w:instr=" SEQ Abs1 \r 1 \* MERGEFORMAT ">
              <w:r w:rsidR="006674A1" w:rsidRPr="006674A1">
                <w:rPr>
                  <w:noProof/>
                  <w:vertAlign w:val="superscript"/>
                </w:rPr>
                <w:t>1</w:t>
              </w:r>
            </w:fldSimple>
            <w:r w:rsidR="00D37E88" w:rsidRPr="001555C8">
              <w:tab/>
            </w:r>
            <w:r w:rsidR="00D37E88" w:rsidRPr="001555C8">
              <w:rPr>
                <w:sz w:val="20"/>
                <w:lang w:eastAsia="de-CH"/>
              </w:rPr>
              <w:t xml:space="preserve">Der Gesamtbeitrag setzt sich aus </w:t>
            </w:r>
            <w:r w:rsidR="005A5E35" w:rsidRPr="001555C8">
              <w:rPr>
                <w:sz w:val="20"/>
                <w:lang w:eastAsia="de-CH"/>
              </w:rPr>
              <w:t>Altersgutschriften</w:t>
            </w:r>
            <w:r w:rsidR="00D37E88" w:rsidRPr="001555C8">
              <w:rPr>
                <w:sz w:val="20"/>
                <w:lang w:eastAsia="de-CH"/>
              </w:rPr>
              <w:t xml:space="preserve"> und Risikobeiträgen zusammen.</w:t>
            </w:r>
          </w:p>
        </w:tc>
      </w:tr>
      <w:tr w:rsidR="00D37E88" w:rsidRPr="001555C8" w:rsidTr="00D37E88">
        <w:trPr>
          <w:cantSplit/>
          <w:trHeight w:val="400"/>
        </w:trPr>
        <w:tc>
          <w:tcPr>
            <w:tcW w:w="9072" w:type="dxa"/>
          </w:tcPr>
          <w:p w:rsidR="00D37E88" w:rsidRPr="001555C8" w:rsidRDefault="00896579" w:rsidP="00D37E88">
            <w:pPr>
              <w:pStyle w:val="Artikel"/>
              <w:rPr>
                <w:sz w:val="20"/>
                <w:lang w:eastAsia="de-CH"/>
              </w:rPr>
            </w:pPr>
            <w:fldSimple w:instr=" SEQ Abs1 \* ARABIC \* MERGEFORMAT ">
              <w:r w:rsidR="006674A1" w:rsidRPr="006674A1">
                <w:rPr>
                  <w:noProof/>
                  <w:sz w:val="18"/>
                  <w:vertAlign w:val="superscript"/>
                </w:rPr>
                <w:t>2</w:t>
              </w:r>
            </w:fldSimple>
            <w:r w:rsidR="00D37E88" w:rsidRPr="001555C8">
              <w:rPr>
                <w:sz w:val="18"/>
              </w:rPr>
              <w:tab/>
            </w:r>
            <w:r w:rsidR="00D37E88" w:rsidRPr="001555C8">
              <w:rPr>
                <w:sz w:val="20"/>
                <w:lang w:eastAsia="de-CH"/>
              </w:rPr>
              <w:t xml:space="preserve">Die Höhe der </w:t>
            </w:r>
            <w:r w:rsidR="005A5E35" w:rsidRPr="001555C8">
              <w:rPr>
                <w:sz w:val="20"/>
                <w:lang w:eastAsia="de-CH"/>
              </w:rPr>
              <w:t>Altersgutschriften</w:t>
            </w:r>
            <w:r w:rsidR="00D37E88" w:rsidRPr="001555C8">
              <w:rPr>
                <w:sz w:val="20"/>
                <w:lang w:eastAsia="de-CH"/>
              </w:rPr>
              <w:t xml:space="preserve"> betragen: </w:t>
            </w:r>
          </w:p>
          <w:p w:rsidR="00D37E88" w:rsidRPr="001555C8" w:rsidRDefault="00D37E88" w:rsidP="005344CB">
            <w:pPr>
              <w:tabs>
                <w:tab w:val="left" w:pos="284"/>
                <w:tab w:val="right" w:pos="2750"/>
              </w:tabs>
              <w:overflowPunct/>
              <w:spacing w:after="120" w:line="240" w:lineRule="atLeast"/>
              <w:jc w:val="both"/>
              <w:textAlignment w:val="auto"/>
              <w:rPr>
                <w:sz w:val="20"/>
                <w:lang w:eastAsia="de-CH"/>
              </w:rPr>
            </w:pPr>
            <w:r w:rsidRPr="001555C8">
              <w:rPr>
                <w:sz w:val="20"/>
                <w:lang w:eastAsia="de-CH"/>
              </w:rPr>
              <w:tab/>
              <w:t xml:space="preserve">Alter 17 – 24: </w:t>
            </w:r>
            <w:r w:rsidRPr="001555C8">
              <w:rPr>
                <w:sz w:val="20"/>
                <w:lang w:eastAsia="de-CH"/>
              </w:rPr>
              <w:tab/>
              <w:t>0.0%</w:t>
            </w:r>
            <w:r w:rsidRPr="001555C8">
              <w:rPr>
                <w:sz w:val="20"/>
                <w:lang w:eastAsia="de-CH"/>
              </w:rPr>
              <w:br/>
            </w:r>
            <w:r w:rsidRPr="001555C8">
              <w:rPr>
                <w:sz w:val="20"/>
                <w:lang w:eastAsia="de-CH"/>
              </w:rPr>
              <w:tab/>
              <w:t xml:space="preserve">Alter 25 – 29: </w:t>
            </w:r>
            <w:r w:rsidRPr="001555C8">
              <w:rPr>
                <w:sz w:val="20"/>
                <w:lang w:eastAsia="de-CH"/>
              </w:rPr>
              <w:tab/>
              <w:t>14.0%</w:t>
            </w:r>
            <w:r w:rsidRPr="001555C8">
              <w:rPr>
                <w:sz w:val="20"/>
                <w:lang w:eastAsia="de-CH"/>
              </w:rPr>
              <w:br/>
            </w:r>
            <w:r w:rsidRPr="001555C8">
              <w:rPr>
                <w:sz w:val="20"/>
                <w:lang w:eastAsia="de-CH"/>
              </w:rPr>
              <w:tab/>
              <w:t xml:space="preserve">Alter 30 – 34: </w:t>
            </w:r>
            <w:r w:rsidRPr="001555C8">
              <w:rPr>
                <w:sz w:val="20"/>
                <w:lang w:eastAsia="de-CH"/>
              </w:rPr>
              <w:tab/>
              <w:t>16.0%</w:t>
            </w:r>
            <w:r w:rsidRPr="001555C8">
              <w:rPr>
                <w:sz w:val="20"/>
                <w:lang w:eastAsia="de-CH"/>
              </w:rPr>
              <w:br/>
            </w:r>
            <w:r w:rsidRPr="001555C8">
              <w:rPr>
                <w:sz w:val="20"/>
                <w:lang w:eastAsia="de-CH"/>
              </w:rPr>
              <w:tab/>
              <w:t xml:space="preserve">Alter 35 – 39: </w:t>
            </w:r>
            <w:r w:rsidRPr="001555C8">
              <w:rPr>
                <w:sz w:val="20"/>
                <w:lang w:eastAsia="de-CH"/>
              </w:rPr>
              <w:tab/>
              <w:t>18.0%</w:t>
            </w:r>
            <w:r w:rsidRPr="001555C8">
              <w:rPr>
                <w:sz w:val="20"/>
                <w:lang w:eastAsia="de-CH"/>
              </w:rPr>
              <w:br/>
            </w:r>
            <w:r w:rsidRPr="001555C8">
              <w:rPr>
                <w:sz w:val="20"/>
                <w:lang w:eastAsia="de-CH"/>
              </w:rPr>
              <w:tab/>
              <w:t xml:space="preserve">Alter 40 – 44: </w:t>
            </w:r>
            <w:r w:rsidRPr="001555C8">
              <w:rPr>
                <w:sz w:val="20"/>
                <w:lang w:eastAsia="de-CH"/>
              </w:rPr>
              <w:tab/>
              <w:t>20.0%</w:t>
            </w:r>
            <w:r w:rsidRPr="001555C8">
              <w:rPr>
                <w:sz w:val="20"/>
                <w:lang w:eastAsia="de-CH"/>
              </w:rPr>
              <w:br/>
            </w:r>
            <w:r w:rsidRPr="001555C8">
              <w:rPr>
                <w:sz w:val="20"/>
                <w:lang w:eastAsia="de-CH"/>
              </w:rPr>
              <w:tab/>
              <w:t xml:space="preserve">Alter 45 – 49: </w:t>
            </w:r>
            <w:r w:rsidRPr="001555C8">
              <w:rPr>
                <w:sz w:val="20"/>
                <w:lang w:eastAsia="de-CH"/>
              </w:rPr>
              <w:tab/>
              <w:t>22.0%</w:t>
            </w:r>
            <w:r w:rsidRPr="001555C8">
              <w:rPr>
                <w:sz w:val="20"/>
                <w:lang w:eastAsia="de-CH"/>
              </w:rPr>
              <w:br/>
            </w:r>
            <w:r w:rsidRPr="001555C8">
              <w:rPr>
                <w:sz w:val="20"/>
                <w:lang w:eastAsia="de-CH"/>
              </w:rPr>
              <w:tab/>
              <w:t xml:space="preserve">Alter 50 – 54: </w:t>
            </w:r>
            <w:r w:rsidRPr="001555C8">
              <w:rPr>
                <w:sz w:val="20"/>
                <w:lang w:eastAsia="de-CH"/>
              </w:rPr>
              <w:tab/>
              <w:t>24.0%</w:t>
            </w:r>
            <w:r w:rsidRPr="001555C8">
              <w:rPr>
                <w:sz w:val="20"/>
                <w:lang w:eastAsia="de-CH"/>
              </w:rPr>
              <w:br/>
            </w:r>
            <w:r w:rsidRPr="001555C8">
              <w:rPr>
                <w:sz w:val="20"/>
                <w:lang w:eastAsia="de-CH"/>
              </w:rPr>
              <w:tab/>
              <w:t xml:space="preserve">Alter 55 – 59: </w:t>
            </w:r>
            <w:r w:rsidRPr="001555C8">
              <w:rPr>
                <w:sz w:val="20"/>
                <w:lang w:eastAsia="de-CH"/>
              </w:rPr>
              <w:tab/>
              <w:t>26.0%</w:t>
            </w:r>
            <w:r w:rsidRPr="001555C8">
              <w:rPr>
                <w:sz w:val="20"/>
                <w:lang w:eastAsia="de-CH"/>
              </w:rPr>
              <w:br/>
            </w:r>
            <w:r w:rsidRPr="001555C8">
              <w:rPr>
                <w:sz w:val="20"/>
                <w:lang w:eastAsia="de-CH"/>
              </w:rPr>
              <w:tab/>
              <w:t xml:space="preserve">Alter 60 – 65: </w:t>
            </w:r>
            <w:r w:rsidRPr="001555C8">
              <w:rPr>
                <w:sz w:val="20"/>
                <w:lang w:eastAsia="de-CH"/>
              </w:rPr>
              <w:tab/>
              <w:t>28.0%</w:t>
            </w:r>
          </w:p>
          <w:p w:rsidR="001B3EA6" w:rsidRPr="001555C8" w:rsidRDefault="001B3EA6" w:rsidP="001B3EA6">
            <w:pPr>
              <w:tabs>
                <w:tab w:val="left" w:pos="284"/>
              </w:tabs>
              <w:overflowPunct/>
              <w:spacing w:after="120" w:line="240" w:lineRule="atLeast"/>
              <w:jc w:val="both"/>
              <w:textAlignment w:val="auto"/>
              <w:rPr>
                <w:sz w:val="18"/>
              </w:rPr>
            </w:pPr>
            <w:r w:rsidRPr="001555C8">
              <w:rPr>
                <w:sz w:val="20"/>
                <w:lang w:eastAsia="de-CH"/>
              </w:rPr>
              <w:tab/>
              <w:t>Das Alter berechnet sich als Differenz zwischen dem Kalender- und dem Geburtsjahr.</w:t>
            </w:r>
          </w:p>
        </w:tc>
      </w:tr>
      <w:tr w:rsidR="00D37E88" w:rsidRPr="001555C8" w:rsidTr="00D37E88">
        <w:trPr>
          <w:cantSplit/>
          <w:trHeight w:val="400"/>
        </w:trPr>
        <w:tc>
          <w:tcPr>
            <w:tcW w:w="9072" w:type="dxa"/>
          </w:tcPr>
          <w:p w:rsidR="00D37E88" w:rsidRPr="001555C8" w:rsidRDefault="00896579" w:rsidP="001B3EA6">
            <w:pPr>
              <w:tabs>
                <w:tab w:val="left" w:pos="198"/>
              </w:tabs>
              <w:overflowPunct/>
              <w:spacing w:after="120" w:line="240" w:lineRule="atLeast"/>
              <w:jc w:val="both"/>
              <w:textAlignment w:val="auto"/>
              <w:rPr>
                <w:sz w:val="18"/>
                <w:vertAlign w:val="superscript"/>
              </w:rPr>
            </w:pPr>
            <w:fldSimple w:instr=" SEQ Abs1 \* ARABIC \* MERGEFORMAT ">
              <w:r w:rsidR="006674A1" w:rsidRPr="006674A1">
                <w:rPr>
                  <w:noProof/>
                  <w:sz w:val="18"/>
                  <w:vertAlign w:val="superscript"/>
                </w:rPr>
                <w:t>3</w:t>
              </w:r>
            </w:fldSimple>
            <w:r w:rsidR="00D37E88" w:rsidRPr="001555C8">
              <w:rPr>
                <w:sz w:val="18"/>
              </w:rPr>
              <w:tab/>
            </w:r>
            <w:r w:rsidR="001B3EA6" w:rsidRPr="001555C8">
              <w:rPr>
                <w:sz w:val="20"/>
                <w:lang w:eastAsia="de-CH"/>
              </w:rPr>
              <w:t>Die Risikobeiträge decken die Versicherungsrisiken Tod und Invalidität</w:t>
            </w:r>
            <w:r w:rsidR="005A5E35" w:rsidRPr="001555C8">
              <w:rPr>
                <w:sz w:val="20"/>
                <w:lang w:eastAsia="de-CH"/>
              </w:rPr>
              <w:t xml:space="preserve"> sowie die Verwaltungsko</w:t>
            </w:r>
            <w:r w:rsidR="005A5E35" w:rsidRPr="001555C8">
              <w:rPr>
                <w:sz w:val="20"/>
                <w:lang w:eastAsia="de-CH"/>
              </w:rPr>
              <w:t>s</w:t>
            </w:r>
            <w:r w:rsidR="005A5E35" w:rsidRPr="001555C8">
              <w:rPr>
                <w:sz w:val="20"/>
                <w:lang w:eastAsia="de-CH"/>
              </w:rPr>
              <w:t>ten</w:t>
            </w:r>
            <w:r w:rsidR="001B3EA6" w:rsidRPr="001555C8">
              <w:rPr>
                <w:sz w:val="20"/>
                <w:lang w:eastAsia="de-CH"/>
              </w:rPr>
              <w:t xml:space="preserve"> und betragen 3.5% des versicherten Lohnes. Sie können von der Pensionskommission auf Empfehlung des Experten für berufliche Vorsorge bis maximal 4.5% erhöht werden.</w:t>
            </w:r>
          </w:p>
        </w:tc>
      </w:tr>
      <w:tr w:rsidR="00D37E88" w:rsidRPr="001555C8" w:rsidTr="00D37E88">
        <w:trPr>
          <w:cantSplit/>
          <w:trHeight w:val="400"/>
        </w:trPr>
        <w:tc>
          <w:tcPr>
            <w:tcW w:w="9072" w:type="dxa"/>
          </w:tcPr>
          <w:p w:rsidR="00D37E88" w:rsidRPr="001555C8" w:rsidRDefault="00896579" w:rsidP="005A5E35">
            <w:pPr>
              <w:pStyle w:val="Artikel"/>
              <w:tabs>
                <w:tab w:val="left" w:pos="198"/>
              </w:tabs>
              <w:rPr>
                <w:sz w:val="18"/>
              </w:rPr>
            </w:pPr>
            <w:fldSimple w:instr=" SEQ Abs1 \* ARABIC \* MERGEFORMAT ">
              <w:r w:rsidR="006674A1" w:rsidRPr="006674A1">
                <w:rPr>
                  <w:noProof/>
                  <w:sz w:val="18"/>
                  <w:vertAlign w:val="superscript"/>
                </w:rPr>
                <w:t>4</w:t>
              </w:r>
            </w:fldSimple>
            <w:r w:rsidR="00D37E88" w:rsidRPr="001555C8">
              <w:rPr>
                <w:sz w:val="18"/>
              </w:rPr>
              <w:tab/>
            </w:r>
            <w:r w:rsidR="001B3EA6" w:rsidRPr="001555C8">
              <w:rPr>
                <w:sz w:val="20"/>
                <w:lang w:eastAsia="de-CH"/>
              </w:rPr>
              <w:t xml:space="preserve">Die </w:t>
            </w:r>
            <w:proofErr w:type="spellStart"/>
            <w:r w:rsidR="001B3EA6" w:rsidRPr="001555C8">
              <w:rPr>
                <w:sz w:val="20"/>
                <w:lang w:eastAsia="de-CH"/>
              </w:rPr>
              <w:t>Arbeitgebenden</w:t>
            </w:r>
            <w:proofErr w:type="spellEnd"/>
            <w:r w:rsidR="001B3EA6" w:rsidRPr="001555C8">
              <w:rPr>
                <w:sz w:val="20"/>
                <w:lang w:eastAsia="de-CH"/>
              </w:rPr>
              <w:t xml:space="preserve"> leisten 60% der </w:t>
            </w:r>
            <w:r w:rsidR="005A5E35" w:rsidRPr="001555C8">
              <w:rPr>
                <w:sz w:val="20"/>
                <w:lang w:eastAsia="de-CH"/>
              </w:rPr>
              <w:t>Altersgutschriften</w:t>
            </w:r>
            <w:r w:rsidR="001B3EA6" w:rsidRPr="001555C8">
              <w:rPr>
                <w:sz w:val="20"/>
                <w:lang w:eastAsia="de-CH"/>
              </w:rPr>
              <w:t xml:space="preserve"> und </w:t>
            </w:r>
            <w:r w:rsidR="005A5E35" w:rsidRPr="001555C8">
              <w:rPr>
                <w:sz w:val="20"/>
                <w:lang w:eastAsia="de-CH"/>
              </w:rPr>
              <w:t xml:space="preserve">der </w:t>
            </w:r>
            <w:r w:rsidR="001B3EA6" w:rsidRPr="001555C8">
              <w:rPr>
                <w:sz w:val="20"/>
                <w:lang w:eastAsia="de-CH"/>
              </w:rPr>
              <w:t xml:space="preserve">Risikobeiträge; die </w:t>
            </w:r>
            <w:proofErr w:type="spellStart"/>
            <w:r w:rsidR="001B3EA6" w:rsidRPr="001555C8">
              <w:rPr>
                <w:sz w:val="20"/>
                <w:lang w:eastAsia="de-CH"/>
              </w:rPr>
              <w:t>Arbeitnehmenden</w:t>
            </w:r>
            <w:proofErr w:type="spellEnd"/>
            <w:r w:rsidR="001B3EA6" w:rsidRPr="001555C8">
              <w:rPr>
                <w:sz w:val="20"/>
                <w:lang w:eastAsia="de-CH"/>
              </w:rPr>
              <w:t xml:space="preserve"> leisten 40% der </w:t>
            </w:r>
            <w:r w:rsidR="005A5E35" w:rsidRPr="001555C8">
              <w:rPr>
                <w:sz w:val="20"/>
                <w:lang w:eastAsia="de-CH"/>
              </w:rPr>
              <w:t>Altersgutschriften und der Risikobeiträge</w:t>
            </w:r>
            <w:r w:rsidR="001B3EA6" w:rsidRPr="001555C8">
              <w:rPr>
                <w:sz w:val="20"/>
                <w:lang w:eastAsia="de-CH"/>
              </w:rPr>
              <w:t xml:space="preserve">. Im Rahmen der bundesrechtlichen Vorschriften können angeschlossene </w:t>
            </w:r>
            <w:proofErr w:type="spellStart"/>
            <w:r w:rsidR="001B3EA6" w:rsidRPr="001555C8">
              <w:rPr>
                <w:sz w:val="20"/>
                <w:lang w:eastAsia="de-CH"/>
              </w:rPr>
              <w:t>Arbeitgebende</w:t>
            </w:r>
            <w:proofErr w:type="spellEnd"/>
            <w:r w:rsidR="001B3EA6" w:rsidRPr="001555C8">
              <w:rPr>
                <w:sz w:val="20"/>
                <w:lang w:eastAsia="de-CH"/>
              </w:rPr>
              <w:t xml:space="preserve"> mit der Pensionskasse der Stadt Olten eine abweichende Beitragsaufteilung vereinbaren.</w:t>
            </w:r>
          </w:p>
        </w:tc>
      </w:tr>
    </w:tbl>
    <w:p w:rsidR="00D37E88" w:rsidRPr="001555C8" w:rsidRDefault="00D37E88" w:rsidP="00D37E88">
      <w:pPr>
        <w:pStyle w:val="Textkrper"/>
      </w:pPr>
    </w:p>
    <w:p w:rsidR="00D37E88" w:rsidRPr="001555C8" w:rsidRDefault="00602D53" w:rsidP="00A53761">
      <w:pPr>
        <w:pStyle w:val="Textkrper"/>
      </w:pPr>
      <w:r w:rsidRPr="001555C8">
        <w:t xml:space="preserve">Mit diesem Artikel werden die </w:t>
      </w:r>
      <w:r w:rsidRPr="001555C8">
        <w:rPr>
          <w:szCs w:val="22"/>
        </w:rPr>
        <w:t xml:space="preserve">Höhe der </w:t>
      </w:r>
      <w:r w:rsidR="005A5E35" w:rsidRPr="001555C8">
        <w:rPr>
          <w:szCs w:val="22"/>
          <w:lang w:eastAsia="de-CH"/>
        </w:rPr>
        <w:t>Altersgutschriften und der Risikobeiträge</w:t>
      </w:r>
      <w:r w:rsidR="005A5E35" w:rsidRPr="001555C8">
        <w:rPr>
          <w:szCs w:val="22"/>
        </w:rPr>
        <w:t xml:space="preserve"> </w:t>
      </w:r>
      <w:r w:rsidRPr="001555C8">
        <w:rPr>
          <w:szCs w:val="22"/>
        </w:rPr>
        <w:t xml:space="preserve">sowie deren Aufteilung zwischen </w:t>
      </w:r>
      <w:proofErr w:type="spellStart"/>
      <w:r w:rsidRPr="001555C8">
        <w:rPr>
          <w:szCs w:val="22"/>
        </w:rPr>
        <w:t>Arbeitnehmenden</w:t>
      </w:r>
      <w:proofErr w:type="spellEnd"/>
      <w:r w:rsidRPr="001555C8">
        <w:rPr>
          <w:szCs w:val="22"/>
        </w:rPr>
        <w:t xml:space="preserve"> und </w:t>
      </w:r>
      <w:proofErr w:type="spellStart"/>
      <w:r w:rsidRPr="001555C8">
        <w:rPr>
          <w:szCs w:val="22"/>
        </w:rPr>
        <w:t>Arbeitgebenden</w:t>
      </w:r>
      <w:proofErr w:type="spellEnd"/>
      <w:r w:rsidRPr="001555C8">
        <w:rPr>
          <w:szCs w:val="22"/>
        </w:rPr>
        <w:t xml:space="preserve"> festgehalten. Die Beiträge sind vom Gemeindeparlament zu beschliessen.</w:t>
      </w:r>
      <w:r w:rsidR="005344CB" w:rsidRPr="001555C8">
        <w:rPr>
          <w:szCs w:val="22"/>
        </w:rPr>
        <w:t xml:space="preserve"> Sollten die Risikobeiträge aufgrund einer meist konjunkturell bedingten Zunahme der IV-Fälle nicht mehr genügen, hat die Pensionskommission die Kompetenz, diese Beiträge um maximal ein Prozentpunkt</w:t>
      </w:r>
      <w:r w:rsidR="005344CB" w:rsidRPr="001555C8">
        <w:t xml:space="preserve"> zu erhöhen. Sollte auch nach dieser Erhöhung eine Lücke bestehen, sind entweder beim Parlament höhere Beiträge zu beantragen oder die Risikoleistungen zu reduzieren. Falls die </w:t>
      </w:r>
      <w:r w:rsidR="005A5E35" w:rsidRPr="001555C8">
        <w:rPr>
          <w:szCs w:val="22"/>
          <w:lang w:eastAsia="de-CH"/>
        </w:rPr>
        <w:t xml:space="preserve">Altersgutschriften </w:t>
      </w:r>
      <w:r w:rsidR="005344CB" w:rsidRPr="001555C8">
        <w:t xml:space="preserve">zusammen mit der Verzinsung das Erreichen des Leistungsziels nicht mehr ermöglichen, kann die Pensionskommission ebenfalls eine Erhöhung der </w:t>
      </w:r>
      <w:r w:rsidR="005A5E35" w:rsidRPr="001555C8">
        <w:rPr>
          <w:szCs w:val="22"/>
          <w:lang w:eastAsia="de-CH"/>
        </w:rPr>
        <w:t xml:space="preserve">Altersgutschriften </w:t>
      </w:r>
      <w:r w:rsidR="005344CB" w:rsidRPr="001555C8">
        <w:t xml:space="preserve">beim Gemeindeparlament beantragen. </w:t>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28" w:name="_Toc334545148"/>
      <w:bookmarkStart w:id="129" w:name="_Toc358786232"/>
      <w:r w:rsidRPr="001555C8">
        <w:t>Staatsgarantie</w:t>
      </w:r>
      <w:bookmarkEnd w:id="128"/>
      <w:bookmarkEnd w:id="129"/>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vAlign w:val="center"/>
          </w:tcPr>
          <w:p w:rsidR="000A4E83" w:rsidRPr="001555C8" w:rsidRDefault="00896579" w:rsidP="00B81F97">
            <w:pPr>
              <w:pStyle w:val="Artikel"/>
              <w:tabs>
                <w:tab w:val="left" w:pos="198"/>
              </w:tabs>
              <w:rPr>
                <w:sz w:val="20"/>
              </w:rPr>
            </w:pPr>
            <w:fldSimple w:instr=" SEQ Abs1 \r 1 \* MERGEFORMAT ">
              <w:r w:rsidR="006674A1" w:rsidRPr="006674A1">
                <w:rPr>
                  <w:noProof/>
                  <w:vertAlign w:val="superscript"/>
                </w:rPr>
                <w:t>1</w:t>
              </w:r>
            </w:fldSimple>
            <w:r w:rsidR="000A4E83" w:rsidRPr="001555C8">
              <w:tab/>
            </w:r>
            <w:r w:rsidR="0066344A" w:rsidRPr="001555C8">
              <w:rPr>
                <w:sz w:val="20"/>
              </w:rPr>
              <w:t>Eine</w:t>
            </w:r>
            <w:r w:rsidR="000A4E83" w:rsidRPr="001555C8">
              <w:rPr>
                <w:sz w:val="20"/>
              </w:rPr>
              <w:t xml:space="preserve"> Staatsgarantie </w:t>
            </w:r>
            <w:r w:rsidR="0066344A" w:rsidRPr="001555C8">
              <w:rPr>
                <w:sz w:val="20"/>
              </w:rPr>
              <w:t xml:space="preserve">im Umfang von 20 Prozentpunkten der Vorsorgekapitalien und Rückstellungen </w:t>
            </w:r>
            <w:r w:rsidR="00FC7D7E" w:rsidRPr="001555C8">
              <w:rPr>
                <w:sz w:val="20"/>
              </w:rPr>
              <w:t>liegt</w:t>
            </w:r>
            <w:r w:rsidR="0066344A" w:rsidRPr="001555C8">
              <w:rPr>
                <w:sz w:val="20"/>
              </w:rPr>
              <w:t xml:space="preserve"> </w:t>
            </w:r>
            <w:r w:rsidR="000A4E83" w:rsidRPr="001555C8">
              <w:rPr>
                <w:sz w:val="20"/>
              </w:rPr>
              <w:t xml:space="preserve">für folgende Leistungen vor, soweit </w:t>
            </w:r>
            <w:r w:rsidR="00FC7D7E" w:rsidRPr="001555C8">
              <w:rPr>
                <w:sz w:val="20"/>
              </w:rPr>
              <w:t xml:space="preserve">ein Deckungsgrad von 80% </w:t>
            </w:r>
            <w:r w:rsidR="004F3AF5" w:rsidRPr="001555C8">
              <w:rPr>
                <w:sz w:val="20"/>
              </w:rPr>
              <w:t>nicht unterschritten wird</w:t>
            </w:r>
            <w:r w:rsidR="000A4E83" w:rsidRPr="001555C8">
              <w:rPr>
                <w:sz w:val="20"/>
              </w:rPr>
              <w:t>:</w:t>
            </w:r>
          </w:p>
          <w:p w:rsidR="000A4E83" w:rsidRPr="001555C8" w:rsidRDefault="000A4E83" w:rsidP="00786C73">
            <w:pPr>
              <w:pStyle w:val="Artikel"/>
              <w:numPr>
                <w:ilvl w:val="0"/>
                <w:numId w:val="21"/>
              </w:numPr>
              <w:tabs>
                <w:tab w:val="clear" w:pos="284"/>
                <w:tab w:val="left" w:pos="199"/>
              </w:tabs>
              <w:rPr>
                <w:sz w:val="20"/>
              </w:rPr>
            </w:pPr>
            <w:r w:rsidRPr="001555C8">
              <w:rPr>
                <w:sz w:val="20"/>
              </w:rPr>
              <w:t>Alters-, Risiko- und Austrittsleistungen,</w:t>
            </w:r>
          </w:p>
          <w:p w:rsidR="000A4E83" w:rsidRPr="001555C8" w:rsidRDefault="000A4E83" w:rsidP="00786C73">
            <w:pPr>
              <w:pStyle w:val="Artikel"/>
              <w:numPr>
                <w:ilvl w:val="0"/>
                <w:numId w:val="21"/>
              </w:numPr>
              <w:tabs>
                <w:tab w:val="clear" w:pos="284"/>
                <w:tab w:val="left" w:pos="199"/>
              </w:tabs>
              <w:rPr>
                <w:sz w:val="20"/>
              </w:rPr>
            </w:pPr>
            <w:r w:rsidRPr="001555C8">
              <w:rPr>
                <w:sz w:val="20"/>
              </w:rPr>
              <w:t>Austrittsleistungen eines in Teilliquidation austretenden Versichertenbestands sowie</w:t>
            </w:r>
          </w:p>
          <w:p w:rsidR="000A4E83" w:rsidRPr="001555C8" w:rsidRDefault="000A4E83" w:rsidP="00786C73">
            <w:pPr>
              <w:pStyle w:val="Artikel"/>
              <w:numPr>
                <w:ilvl w:val="0"/>
                <w:numId w:val="21"/>
              </w:numPr>
              <w:tabs>
                <w:tab w:val="clear" w:pos="284"/>
                <w:tab w:val="left" w:pos="199"/>
              </w:tabs>
              <w:rPr>
                <w:sz w:val="18"/>
                <w:szCs w:val="18"/>
              </w:rPr>
            </w:pPr>
            <w:r w:rsidRPr="001555C8">
              <w:rPr>
                <w:sz w:val="20"/>
              </w:rPr>
              <w:t>versicherungstechnische Fehlbeträge, die als Folge einer Teilliquidation beim verble</w:t>
            </w:r>
            <w:r w:rsidRPr="001555C8">
              <w:rPr>
                <w:sz w:val="20"/>
              </w:rPr>
              <w:t>i</w:t>
            </w:r>
            <w:r w:rsidRPr="001555C8">
              <w:rPr>
                <w:sz w:val="20"/>
              </w:rPr>
              <w:t>benden Versichertenbestand entstehen.</w:t>
            </w:r>
          </w:p>
        </w:tc>
      </w:tr>
      <w:tr w:rsidR="000A4E83" w:rsidRPr="001555C8" w:rsidTr="003809B6">
        <w:trPr>
          <w:cantSplit/>
          <w:trHeight w:val="400"/>
        </w:trPr>
        <w:tc>
          <w:tcPr>
            <w:tcW w:w="9072" w:type="dxa"/>
          </w:tcPr>
          <w:p w:rsidR="000A4E83" w:rsidRPr="001555C8" w:rsidRDefault="00896579" w:rsidP="00A53761">
            <w:pPr>
              <w:tabs>
                <w:tab w:val="left" w:pos="198"/>
              </w:tabs>
              <w:overflowPunct/>
              <w:spacing w:after="120" w:line="240" w:lineRule="atLeast"/>
              <w:jc w:val="both"/>
              <w:textAlignment w:val="auto"/>
              <w:rPr>
                <w:sz w:val="18"/>
              </w:rPr>
            </w:pPr>
            <w:fldSimple w:instr=" SEQ Abs1 \* ARABIC \* MERGEFORMAT ">
              <w:r w:rsidR="006674A1" w:rsidRPr="006674A1">
                <w:rPr>
                  <w:noProof/>
                  <w:sz w:val="18"/>
                  <w:vertAlign w:val="superscript"/>
                </w:rPr>
                <w:t>2</w:t>
              </w:r>
            </w:fldSimple>
            <w:r w:rsidR="000A4E83" w:rsidRPr="001555C8">
              <w:rPr>
                <w:sz w:val="18"/>
              </w:rPr>
              <w:tab/>
            </w:r>
            <w:r w:rsidR="00FC7D7E" w:rsidRPr="001555C8">
              <w:rPr>
                <w:rFonts w:cs="Arial"/>
                <w:sz w:val="20"/>
              </w:rPr>
              <w:t>Die angeschlossenen Gemeinden stellen die Garantie für den jeweils auf ihre Destinatäre (Aktive und Rentenbeziehende) anfallenden Teil der Garantie sowie für die ihnen wirtschaftlich eng verbundenen Anschlüsse. Die Stadt Olten stellt die Garantie für die übrigen Destinatäre.</w:t>
            </w:r>
          </w:p>
        </w:tc>
      </w:tr>
      <w:tr w:rsidR="000255ED" w:rsidRPr="001555C8" w:rsidTr="003809B6">
        <w:trPr>
          <w:cantSplit/>
          <w:trHeight w:val="400"/>
        </w:trPr>
        <w:tc>
          <w:tcPr>
            <w:tcW w:w="9072" w:type="dxa"/>
          </w:tcPr>
          <w:p w:rsidR="000255ED" w:rsidRPr="001555C8" w:rsidRDefault="00896579" w:rsidP="00A53761">
            <w:pPr>
              <w:tabs>
                <w:tab w:val="left" w:pos="198"/>
              </w:tabs>
              <w:overflowPunct/>
              <w:spacing w:after="120" w:line="240" w:lineRule="atLeast"/>
              <w:jc w:val="both"/>
              <w:textAlignment w:val="auto"/>
              <w:rPr>
                <w:sz w:val="18"/>
                <w:vertAlign w:val="superscript"/>
              </w:rPr>
            </w:pPr>
            <w:fldSimple w:instr=" SEQ Abs1 \* ARABIC \* MERGEFORMAT ">
              <w:r w:rsidR="006674A1" w:rsidRPr="006674A1">
                <w:rPr>
                  <w:noProof/>
                  <w:sz w:val="18"/>
                  <w:vertAlign w:val="superscript"/>
                </w:rPr>
                <w:t>3</w:t>
              </w:r>
            </w:fldSimple>
            <w:r w:rsidR="000255ED" w:rsidRPr="001555C8">
              <w:rPr>
                <w:sz w:val="18"/>
              </w:rPr>
              <w:tab/>
            </w:r>
            <w:r w:rsidR="000255ED" w:rsidRPr="001555C8">
              <w:rPr>
                <w:sz w:val="20"/>
              </w:rPr>
              <w:t>Wird eine Garantie fällig, kann der Garantiegeber im Umfang seiner zu leistenden Zahlung Rückgriff auf denjenigen angeschlossenen Arbeitgeber nehmen, für dessen Destinatäre die Garantie geleistet wird.</w:t>
            </w:r>
          </w:p>
        </w:tc>
      </w:tr>
      <w:tr w:rsidR="000A4E83" w:rsidRPr="001555C8" w:rsidTr="003809B6">
        <w:trPr>
          <w:cantSplit/>
          <w:trHeight w:val="400"/>
        </w:trPr>
        <w:tc>
          <w:tcPr>
            <w:tcW w:w="9072" w:type="dxa"/>
          </w:tcPr>
          <w:p w:rsidR="000A4E83" w:rsidRPr="001555C8" w:rsidRDefault="00896579" w:rsidP="00E84AA8">
            <w:pPr>
              <w:pStyle w:val="Artikel"/>
              <w:tabs>
                <w:tab w:val="left" w:pos="198"/>
              </w:tabs>
              <w:rPr>
                <w:sz w:val="18"/>
              </w:rPr>
            </w:pPr>
            <w:fldSimple w:instr=" SEQ Abs1 \* ARABIC \* MERGEFORMAT ">
              <w:r w:rsidR="006674A1" w:rsidRPr="006674A1">
                <w:rPr>
                  <w:noProof/>
                  <w:sz w:val="18"/>
                  <w:vertAlign w:val="superscript"/>
                </w:rPr>
                <w:t>4</w:t>
              </w:r>
            </w:fldSimple>
            <w:r w:rsidR="000A4E83" w:rsidRPr="001555C8">
              <w:rPr>
                <w:sz w:val="18"/>
              </w:rPr>
              <w:tab/>
            </w:r>
            <w:r w:rsidR="00FC7D7E" w:rsidRPr="001555C8">
              <w:rPr>
                <w:sz w:val="20"/>
              </w:rPr>
              <w:t>Die Staatsgarantie entfällt, wenn die Anforderung der Vollkapitalisierung erfüllt ist und genügend Wertschwankungsreserven ausgewiesen werden.</w:t>
            </w:r>
            <w:r w:rsidR="000A4E83" w:rsidRPr="001555C8">
              <w:rPr>
                <w:sz w:val="18"/>
              </w:rPr>
              <w:t xml:space="preserve"> </w:t>
            </w:r>
          </w:p>
        </w:tc>
      </w:tr>
    </w:tbl>
    <w:p w:rsidR="00136217" w:rsidRPr="001555C8" w:rsidRDefault="00136217" w:rsidP="009F38F0">
      <w:pPr>
        <w:pStyle w:val="Textkrper"/>
      </w:pPr>
    </w:p>
    <w:p w:rsidR="009F38F0" w:rsidRPr="001555C8" w:rsidRDefault="009F38F0" w:rsidP="009F38F0">
      <w:pPr>
        <w:pStyle w:val="Textkrper"/>
      </w:pPr>
      <w:r w:rsidRPr="001555C8">
        <w:t xml:space="preserve">Die Staatsgarantie besteht für den Teil </w:t>
      </w:r>
      <w:r w:rsidR="004F3AF5" w:rsidRPr="001555C8">
        <w:t>der Vorsorgeverpflichtung</w:t>
      </w:r>
      <w:r w:rsidR="00425FAC" w:rsidRPr="001555C8">
        <w:t>, welcher</w:t>
      </w:r>
      <w:r w:rsidR="004F3AF5" w:rsidRPr="001555C8">
        <w:t xml:space="preserve"> </w:t>
      </w:r>
      <w:r w:rsidRPr="001555C8">
        <w:t xml:space="preserve">über dem </w:t>
      </w:r>
      <w:r w:rsidR="00FC7D7E" w:rsidRPr="001555C8">
        <w:t>Deckungsgrad von 80%</w:t>
      </w:r>
      <w:r w:rsidR="00425FAC" w:rsidRPr="001555C8">
        <w:t xml:space="preserve"> liegt</w:t>
      </w:r>
      <w:r w:rsidR="00FC7D7E" w:rsidRPr="001555C8">
        <w:t xml:space="preserve">. </w:t>
      </w:r>
      <w:r w:rsidRPr="001555C8">
        <w:t>Fällig wird diese Garantie im Falle einer Teilliquidation. Liegt der globale Deckungsgrad im Falle einer Teilliqui</w:t>
      </w:r>
      <w:r w:rsidR="00FC7D7E" w:rsidRPr="001555C8">
        <w:t xml:space="preserve">dation </w:t>
      </w:r>
      <w:r w:rsidR="00E84AA8" w:rsidRPr="001555C8">
        <w:t>hingegen</w:t>
      </w:r>
      <w:r w:rsidR="00FC7D7E" w:rsidRPr="001555C8">
        <w:t xml:space="preserve"> unter 80%</w:t>
      </w:r>
      <w:r w:rsidRPr="001555C8">
        <w:t xml:space="preserve">, ist der Teil unter 80% im Teilliquidationsfall direkt von der Freizügigkeitsleistung der aktiven Versicherten in Abzug zu bringen, da für diesen Teil keine Staatsgarantie besteht. Eine allfällige </w:t>
      </w:r>
      <w:r w:rsidR="00BE04B2" w:rsidRPr="001555C8">
        <w:rPr>
          <w:lang w:eastAsia="de-CH"/>
        </w:rPr>
        <w:t xml:space="preserve">Wertschwankungs- und Umlageschwankungsreserve </w:t>
      </w:r>
      <w:r w:rsidRPr="001555C8">
        <w:t>ist an die Leistung infolge Staatsgarantie bei Teilliquidation anzurechnen.</w:t>
      </w:r>
      <w:r w:rsidR="00FC7D7E" w:rsidRPr="001555C8">
        <w:t xml:space="preserve"> </w:t>
      </w:r>
      <w:r w:rsidRPr="001555C8">
        <w:t>Im neuen Bundesrecht ist die Voraussetzung geregelt, wann die Staatsgarantie frühestens entfallen kann.</w:t>
      </w:r>
      <w:r w:rsidR="00FC7D7E" w:rsidRPr="001555C8">
        <w:t xml:space="preserve"> </w:t>
      </w:r>
      <w:r w:rsidRPr="001555C8">
        <w:t>Das System der Teilkapitalisi</w:t>
      </w:r>
      <w:r w:rsidRPr="001555C8">
        <w:t>e</w:t>
      </w:r>
      <w:r w:rsidRPr="001555C8">
        <w:t xml:space="preserve">rung setzt eine Staatsgarantie voraus. Garantiefähig sind nebst dem </w:t>
      </w:r>
      <w:r w:rsidR="00CF07E0" w:rsidRPr="001555C8">
        <w:t>Stadt</w:t>
      </w:r>
      <w:r w:rsidRPr="001555C8">
        <w:t xml:space="preserve"> auch Einwohnergemeinden, nicht ab</w:t>
      </w:r>
      <w:r w:rsidR="00FC7D7E" w:rsidRPr="001555C8">
        <w:t>er Bürger- oder Kirchgemeinden.</w:t>
      </w:r>
      <w:r w:rsidR="00E84AA8" w:rsidRPr="001555C8">
        <w:t xml:space="preserve">  Deshalb wird geregelt, wer für wen die Garantie zu übernehmen hat.</w:t>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30" w:name="_Toc334545150"/>
      <w:bookmarkStart w:id="131" w:name="_Toc358786233"/>
      <w:r w:rsidRPr="001555C8">
        <w:t>Sanierung</w:t>
      </w:r>
      <w:bookmarkEnd w:id="130"/>
      <w:bookmarkEnd w:id="131"/>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tcPr>
          <w:p w:rsidR="000A4E83" w:rsidRPr="001555C8" w:rsidRDefault="00896579" w:rsidP="00B918AE">
            <w:pPr>
              <w:pStyle w:val="Artikel"/>
              <w:tabs>
                <w:tab w:val="left" w:pos="199"/>
              </w:tabs>
              <w:rPr>
                <w:position w:val="4"/>
                <w:sz w:val="18"/>
                <w:szCs w:val="18"/>
              </w:rPr>
            </w:pPr>
            <w:fldSimple w:instr=" SEQ Abs1 \r 1 \* MERGEFORMAT ">
              <w:r w:rsidR="006674A1" w:rsidRPr="006674A1">
                <w:rPr>
                  <w:noProof/>
                  <w:sz w:val="18"/>
                  <w:szCs w:val="18"/>
                  <w:vertAlign w:val="superscript"/>
                </w:rPr>
                <w:t>1</w:t>
              </w:r>
            </w:fldSimple>
            <w:r w:rsidR="000A4E83" w:rsidRPr="001555C8">
              <w:rPr>
                <w:sz w:val="18"/>
                <w:szCs w:val="18"/>
              </w:rPr>
              <w:tab/>
            </w:r>
            <w:r w:rsidR="00A53761" w:rsidRPr="001555C8">
              <w:rPr>
                <w:sz w:val="20"/>
              </w:rPr>
              <w:t xml:space="preserve">Liegt der globale Deckungsgrad (Aktive und </w:t>
            </w:r>
            <w:r w:rsidR="00626F7D" w:rsidRPr="001555C8">
              <w:rPr>
                <w:sz w:val="20"/>
                <w:lang w:eastAsia="de-CH"/>
              </w:rPr>
              <w:t>Rentenbeziehende</w:t>
            </w:r>
            <w:r w:rsidR="00626F7D" w:rsidRPr="001555C8">
              <w:rPr>
                <w:sz w:val="20"/>
              </w:rPr>
              <w:t xml:space="preserve"> </w:t>
            </w:r>
            <w:r w:rsidR="00A53761" w:rsidRPr="001555C8">
              <w:rPr>
                <w:sz w:val="20"/>
              </w:rPr>
              <w:t>zusammen) unter 80% oder sinkt der Deckungsgrad für die Aktiven (Deckungsgrad, nachdem die Rentenverpflichtungen vollumfänglich gedeckt sind) unter ihren Ausgangsdeckungsgrad gemäss Art. 72b BVG, Stichtag 1. Januar 2014, sind Sanierungsmassnahmen einzuleiten.</w:t>
            </w:r>
            <w:r w:rsidR="00B918AE" w:rsidRPr="001555C8">
              <w:rPr>
                <w:sz w:val="20"/>
              </w:rPr>
              <w:t xml:space="preserve"> </w:t>
            </w:r>
          </w:p>
        </w:tc>
      </w:tr>
      <w:tr w:rsidR="00B918AE" w:rsidRPr="001555C8" w:rsidTr="003809B6">
        <w:trPr>
          <w:cantSplit/>
          <w:trHeight w:val="400"/>
        </w:trPr>
        <w:tc>
          <w:tcPr>
            <w:tcW w:w="9072" w:type="dxa"/>
          </w:tcPr>
          <w:p w:rsidR="00B918AE" w:rsidRPr="001555C8" w:rsidRDefault="00896579" w:rsidP="00B918AE">
            <w:pPr>
              <w:pStyle w:val="Artikel"/>
              <w:rPr>
                <w:sz w:val="20"/>
              </w:rPr>
            </w:pPr>
            <w:fldSimple w:instr=" SEQ Abs1 \* ARABIC \* MERGEFORMAT ">
              <w:r w:rsidR="006674A1" w:rsidRPr="006674A1">
                <w:rPr>
                  <w:noProof/>
                  <w:sz w:val="18"/>
                  <w:vertAlign w:val="superscript"/>
                </w:rPr>
                <w:t>2</w:t>
              </w:r>
            </w:fldSimple>
            <w:r w:rsidR="00B918AE" w:rsidRPr="001555C8">
              <w:rPr>
                <w:sz w:val="18"/>
              </w:rPr>
              <w:tab/>
            </w:r>
            <w:r w:rsidR="00B918AE" w:rsidRPr="001555C8">
              <w:rPr>
                <w:sz w:val="20"/>
              </w:rPr>
              <w:t>Die Massnahmen müssen dem Grad der Unterdeckung und dem Risikoprofil der Pensionskasse Rechnung tragen. Folgende Massnahmen stehen, unter Beachtung der gesetzlichen Regelungen, grundsätzlich zur Verfügung:</w:t>
            </w:r>
          </w:p>
          <w:p w:rsidR="00B918AE" w:rsidRPr="001555C8" w:rsidRDefault="00B918AE" w:rsidP="00B918AE">
            <w:pPr>
              <w:pStyle w:val="Artikel2"/>
              <w:numPr>
                <w:ilvl w:val="0"/>
                <w:numId w:val="33"/>
              </w:numPr>
              <w:rPr>
                <w:sz w:val="20"/>
              </w:rPr>
            </w:pPr>
            <w:r w:rsidRPr="001555C8">
              <w:rPr>
                <w:sz w:val="20"/>
              </w:rPr>
              <w:t xml:space="preserve">Sanierungsbeiträge von </w:t>
            </w:r>
            <w:proofErr w:type="spellStart"/>
            <w:r w:rsidRPr="001555C8">
              <w:rPr>
                <w:sz w:val="20"/>
              </w:rPr>
              <w:t>Arbeitnehmenden</w:t>
            </w:r>
            <w:proofErr w:type="spellEnd"/>
            <w:r w:rsidRPr="001555C8">
              <w:rPr>
                <w:sz w:val="20"/>
              </w:rPr>
              <w:t xml:space="preserve"> und Arbeitgeber. Der Beitrag des Arbeitgebers muss dabei mindestens gleich hoch sein wie die Gesamtbeiträge der </w:t>
            </w:r>
            <w:proofErr w:type="spellStart"/>
            <w:r w:rsidRPr="001555C8">
              <w:rPr>
                <w:sz w:val="20"/>
              </w:rPr>
              <w:t>Arbeitnehmenden</w:t>
            </w:r>
            <w:proofErr w:type="spellEnd"/>
            <w:r w:rsidRPr="001555C8">
              <w:rPr>
                <w:sz w:val="20"/>
              </w:rPr>
              <w:t>;</w:t>
            </w:r>
          </w:p>
          <w:p w:rsidR="00B918AE" w:rsidRPr="001555C8" w:rsidRDefault="00B918AE" w:rsidP="00B918AE">
            <w:pPr>
              <w:pStyle w:val="Artikel2"/>
              <w:numPr>
                <w:ilvl w:val="0"/>
                <w:numId w:val="33"/>
              </w:numPr>
              <w:rPr>
                <w:sz w:val="20"/>
              </w:rPr>
            </w:pPr>
            <w:r w:rsidRPr="001555C8">
              <w:rPr>
                <w:sz w:val="20"/>
              </w:rPr>
              <w:t>Sanierungsbeiträge der Rentenbezüger. Die obligatorischen Leistungen gemäss BVG dürfen dabei nicht geschmälert werden;</w:t>
            </w:r>
          </w:p>
          <w:p w:rsidR="00B918AE" w:rsidRPr="001555C8" w:rsidRDefault="00B918AE" w:rsidP="00B918AE">
            <w:pPr>
              <w:pStyle w:val="Artikel2"/>
              <w:numPr>
                <w:ilvl w:val="0"/>
                <w:numId w:val="33"/>
              </w:numPr>
              <w:rPr>
                <w:sz w:val="20"/>
              </w:rPr>
            </w:pPr>
            <w:r w:rsidRPr="001555C8">
              <w:rPr>
                <w:sz w:val="20"/>
              </w:rPr>
              <w:t>Unterschreitung des BVG-Zinssatzes, sofern sich die Massnahmen gemäss lit. a und b als ungenügend erweisen;</w:t>
            </w:r>
          </w:p>
          <w:p w:rsidR="00B918AE" w:rsidRPr="001555C8" w:rsidRDefault="00B918AE" w:rsidP="00B918AE">
            <w:pPr>
              <w:pStyle w:val="Artikel2"/>
              <w:numPr>
                <w:ilvl w:val="0"/>
                <w:numId w:val="33"/>
              </w:numPr>
              <w:rPr>
                <w:sz w:val="20"/>
              </w:rPr>
            </w:pPr>
            <w:r w:rsidRPr="001555C8">
              <w:rPr>
                <w:sz w:val="20"/>
              </w:rPr>
              <w:t xml:space="preserve">Kürzung der </w:t>
            </w:r>
            <w:proofErr w:type="spellStart"/>
            <w:r w:rsidRPr="001555C8">
              <w:rPr>
                <w:sz w:val="20"/>
              </w:rPr>
              <w:t>anwartschaftlichen</w:t>
            </w:r>
            <w:proofErr w:type="spellEnd"/>
            <w:r w:rsidRPr="001555C8">
              <w:rPr>
                <w:sz w:val="20"/>
              </w:rPr>
              <w:t xml:space="preserve"> Leistungen;</w:t>
            </w:r>
          </w:p>
        </w:tc>
      </w:tr>
      <w:tr w:rsidR="00B918AE" w:rsidRPr="001555C8" w:rsidTr="003809B6">
        <w:trPr>
          <w:cantSplit/>
          <w:trHeight w:val="400"/>
        </w:trPr>
        <w:tc>
          <w:tcPr>
            <w:tcW w:w="9072" w:type="dxa"/>
          </w:tcPr>
          <w:p w:rsidR="00B918AE" w:rsidRPr="001555C8" w:rsidRDefault="00896579" w:rsidP="00C62056">
            <w:pPr>
              <w:tabs>
                <w:tab w:val="left" w:pos="215"/>
              </w:tabs>
              <w:spacing w:after="120"/>
              <w:jc w:val="both"/>
            </w:pPr>
            <w:fldSimple w:instr=" SEQ Abs1 \* ARABIC \* MERGEFORMAT ">
              <w:r w:rsidR="006674A1" w:rsidRPr="006674A1">
                <w:rPr>
                  <w:noProof/>
                  <w:sz w:val="18"/>
                  <w:vertAlign w:val="superscript"/>
                </w:rPr>
                <w:t>3</w:t>
              </w:r>
            </w:fldSimple>
            <w:r w:rsidR="00B918AE" w:rsidRPr="001555C8">
              <w:rPr>
                <w:sz w:val="18"/>
              </w:rPr>
              <w:tab/>
            </w:r>
            <w:r w:rsidR="00B918AE" w:rsidRPr="001555C8">
              <w:rPr>
                <w:sz w:val="20"/>
              </w:rPr>
              <w:t xml:space="preserve">Die </w:t>
            </w:r>
            <w:r w:rsidR="00C62056" w:rsidRPr="001555C8">
              <w:rPr>
                <w:sz w:val="20"/>
              </w:rPr>
              <w:t xml:space="preserve">Massnahmen werden von der Pensionskommission festgelegt. </w:t>
            </w:r>
          </w:p>
        </w:tc>
      </w:tr>
    </w:tbl>
    <w:p w:rsidR="009F38F0" w:rsidRPr="001555C8" w:rsidRDefault="00E84AA8" w:rsidP="009F38F0">
      <w:pPr>
        <w:pStyle w:val="Textkrper"/>
        <w:rPr>
          <w:strike/>
        </w:rPr>
      </w:pPr>
      <w:r w:rsidRPr="001555C8">
        <w:t xml:space="preserve">Es </w:t>
      </w:r>
      <w:r w:rsidR="009F38F0" w:rsidRPr="001555C8">
        <w:t>sind Sanierungsmassnahmen zu ergreifen, sofern der globale Deckungsgrad unter 80% sinkt oder falls der Deckungsgrad für die aktiven Versicherten unter seinen Ausgangsd</w:t>
      </w:r>
      <w:r w:rsidR="009F38F0" w:rsidRPr="001555C8">
        <w:t>e</w:t>
      </w:r>
      <w:r w:rsidR="009F38F0" w:rsidRPr="001555C8">
        <w:t>ckungsgrad, Stichtag 1.</w:t>
      </w:r>
      <w:r w:rsidR="00826983" w:rsidRPr="001555C8">
        <w:t> Januar </w:t>
      </w:r>
      <w:r w:rsidR="009F38F0" w:rsidRPr="001555C8">
        <w:t>2014, sinkt. Damit ist gewährleistet, dass auch im System der Teilkapitalisierung rechtzeitig reagiert wird, sofern entweder der globale Deckungsgrad sinkt oder sofern sich die Situation der aktiven Versicherten verschlechtert.</w:t>
      </w:r>
      <w:r w:rsidRPr="001555C8">
        <w:t xml:space="preserve"> </w:t>
      </w:r>
      <w:r w:rsidR="00C62056" w:rsidRPr="001555C8">
        <w:t>Absatz 1</w:t>
      </w:r>
      <w:r w:rsidRPr="001555C8">
        <w:t xml:space="preserve"> regelt den Fall, dass aufgrund von </w:t>
      </w:r>
      <w:proofErr w:type="spellStart"/>
      <w:r w:rsidRPr="001555C8">
        <w:t>Bestandesveränderungen</w:t>
      </w:r>
      <w:proofErr w:type="spellEnd"/>
      <w:r w:rsidRPr="001555C8">
        <w:t xml:space="preserve"> (starke Zunahme Neurentner) oder Schwierigkeiten in den Anlagemärkten eine temporäre Sanierung notwendig wird. Demgegenüber regelt Absatz </w:t>
      </w:r>
      <w:fldSimple w:instr=" REF Halten_DG \h  \* MERGEFORMAT ">
        <w:r w:rsidR="006674A1" w:rsidRPr="006674A1">
          <w:t>3</w:t>
        </w:r>
      </w:fldSimple>
      <w:r w:rsidRPr="001555C8">
        <w:t xml:space="preserve"> von </w:t>
      </w:r>
      <w:fldSimple w:instr=" REF _Ref346003203 \r \h  \* MERGEFORMAT ">
        <w:r w:rsidR="006674A1">
          <w:t>Art. 5</w:t>
        </w:r>
      </w:fldSimple>
      <w:r w:rsidRPr="001555C8">
        <w:t xml:space="preserve"> den generellen Anpassungsbedarf, falls mit einer dauernden Verschlechterung gerechnet werden muss.</w:t>
      </w:r>
    </w:p>
    <w:p w:rsidR="005344CB" w:rsidRPr="001555C8" w:rsidRDefault="005344CB" w:rsidP="005344CB">
      <w:pPr>
        <w:pStyle w:val="Textkrper"/>
        <w:rPr>
          <w:strike/>
        </w:rPr>
      </w:pPr>
      <w:bookmarkStart w:id="132" w:name="_Toc334545151"/>
    </w:p>
    <w:p w:rsidR="000A4E83" w:rsidRPr="001555C8" w:rsidRDefault="0041483C" w:rsidP="00786C73">
      <w:pPr>
        <w:pStyle w:val="AenderungbisherigenRechtsGesetzestitel"/>
        <w:numPr>
          <w:ilvl w:val="0"/>
          <w:numId w:val="25"/>
        </w:numPr>
        <w:ind w:left="709" w:hanging="709"/>
        <w:rPr>
          <w:sz w:val="24"/>
        </w:rPr>
      </w:pPr>
      <w:r w:rsidRPr="001555C8">
        <w:br w:type="page"/>
      </w:r>
      <w:r w:rsidR="000A4E83" w:rsidRPr="001555C8">
        <w:rPr>
          <w:sz w:val="24"/>
        </w:rPr>
        <w:t>Organisation und Verwaltung</w:t>
      </w:r>
      <w:bookmarkEnd w:id="132"/>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33" w:name="_Toc334545152"/>
      <w:bookmarkStart w:id="134" w:name="_Toc358786234"/>
      <w:r w:rsidRPr="001555C8">
        <w:t>Organe</w:t>
      </w:r>
      <w:bookmarkEnd w:id="133"/>
      <w:bookmarkEnd w:id="134"/>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tcPr>
          <w:p w:rsidR="000A4E83" w:rsidRPr="001555C8" w:rsidRDefault="00896579">
            <w:pPr>
              <w:pStyle w:val="Artikel"/>
              <w:tabs>
                <w:tab w:val="clear" w:pos="284"/>
                <w:tab w:val="left" w:pos="199"/>
                <w:tab w:val="left" w:pos="6436"/>
              </w:tabs>
              <w:rPr>
                <w:sz w:val="20"/>
              </w:rPr>
            </w:pPr>
            <w:fldSimple w:instr=" SEQ Abs1 \* ARABIC \r 1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Organe der </w:t>
            </w:r>
            <w:r w:rsidR="00151258" w:rsidRPr="001555C8">
              <w:rPr>
                <w:sz w:val="20"/>
              </w:rPr>
              <w:t>PK Olten</w:t>
            </w:r>
            <w:r w:rsidR="000A4E83" w:rsidRPr="001555C8">
              <w:rPr>
                <w:sz w:val="20"/>
              </w:rPr>
              <w:t xml:space="preserve"> sind:</w:t>
            </w:r>
          </w:p>
          <w:p w:rsidR="000A4E83" w:rsidRPr="001555C8" w:rsidRDefault="00E84AA8" w:rsidP="00786C73">
            <w:pPr>
              <w:pStyle w:val="Artikel"/>
              <w:numPr>
                <w:ilvl w:val="0"/>
                <w:numId w:val="22"/>
              </w:numPr>
              <w:tabs>
                <w:tab w:val="clear" w:pos="284"/>
                <w:tab w:val="left" w:pos="199"/>
              </w:tabs>
              <w:rPr>
                <w:sz w:val="20"/>
              </w:rPr>
            </w:pPr>
            <w:r w:rsidRPr="001555C8">
              <w:rPr>
                <w:sz w:val="20"/>
              </w:rPr>
              <w:t>die Pensionskommission</w:t>
            </w:r>
            <w:r w:rsidR="000A4E83" w:rsidRPr="001555C8">
              <w:rPr>
                <w:sz w:val="20"/>
              </w:rPr>
              <w:t>;</w:t>
            </w:r>
          </w:p>
          <w:p w:rsidR="000A4E83" w:rsidRPr="001555C8" w:rsidRDefault="000A4E83" w:rsidP="00786C73">
            <w:pPr>
              <w:pStyle w:val="Artikel"/>
              <w:numPr>
                <w:ilvl w:val="0"/>
                <w:numId w:val="22"/>
              </w:numPr>
              <w:tabs>
                <w:tab w:val="clear" w:pos="284"/>
                <w:tab w:val="left" w:pos="199"/>
              </w:tabs>
              <w:rPr>
                <w:sz w:val="20"/>
              </w:rPr>
            </w:pPr>
            <w:r w:rsidRPr="001555C8">
              <w:rPr>
                <w:sz w:val="20"/>
              </w:rPr>
              <w:t xml:space="preserve">die </w:t>
            </w:r>
            <w:r w:rsidR="00864D6E" w:rsidRPr="001555C8">
              <w:rPr>
                <w:sz w:val="20"/>
              </w:rPr>
              <w:t>Revisionsstelle</w:t>
            </w:r>
            <w:r w:rsidRPr="001555C8">
              <w:rPr>
                <w:sz w:val="20"/>
              </w:rPr>
              <w:t xml:space="preserve">; </w:t>
            </w:r>
          </w:p>
          <w:p w:rsidR="000A4E83" w:rsidRPr="001555C8" w:rsidRDefault="00864D6E" w:rsidP="00864D6E">
            <w:pPr>
              <w:pStyle w:val="Artikel"/>
              <w:numPr>
                <w:ilvl w:val="0"/>
                <w:numId w:val="22"/>
              </w:numPr>
              <w:tabs>
                <w:tab w:val="clear" w:pos="284"/>
                <w:tab w:val="left" w:pos="199"/>
              </w:tabs>
              <w:rPr>
                <w:sz w:val="18"/>
                <w:szCs w:val="18"/>
              </w:rPr>
            </w:pPr>
            <w:r w:rsidRPr="001555C8">
              <w:rPr>
                <w:sz w:val="20"/>
              </w:rPr>
              <w:t>die</w:t>
            </w:r>
            <w:r w:rsidR="00D32508" w:rsidRPr="001555C8">
              <w:rPr>
                <w:sz w:val="20"/>
              </w:rPr>
              <w:t xml:space="preserve"> Expert</w:t>
            </w:r>
            <w:r w:rsidRPr="001555C8">
              <w:rPr>
                <w:sz w:val="20"/>
              </w:rPr>
              <w:t>in für berufliche Vorsorge.</w:t>
            </w:r>
          </w:p>
        </w:tc>
      </w:tr>
    </w:tbl>
    <w:p w:rsidR="00136217" w:rsidRPr="001555C8" w:rsidRDefault="00136217" w:rsidP="009F38F0">
      <w:pPr>
        <w:pStyle w:val="Textkrper"/>
      </w:pPr>
    </w:p>
    <w:p w:rsidR="009F38F0" w:rsidRPr="001555C8" w:rsidRDefault="009F38F0" w:rsidP="009F38F0">
      <w:pPr>
        <w:pStyle w:val="Textkrper"/>
      </w:pPr>
      <w:r w:rsidRPr="001555C8">
        <w:t xml:space="preserve">In diesem Absatz wird festgehalten, wer innerhalb der </w:t>
      </w:r>
      <w:r w:rsidR="00151258" w:rsidRPr="001555C8">
        <w:t>PK Olten</w:t>
      </w:r>
      <w:r w:rsidRPr="001555C8">
        <w:t xml:space="preserve"> Organstellung einnimmt.</w:t>
      </w:r>
    </w:p>
    <w:p w:rsidR="000A4E83" w:rsidRPr="001555C8" w:rsidRDefault="00793C4D" w:rsidP="00895CEF">
      <w:pPr>
        <w:pStyle w:val="berschrift2"/>
        <w:numPr>
          <w:ilvl w:val="1"/>
          <w:numId w:val="17"/>
        </w:numPr>
        <w:tabs>
          <w:tab w:val="clear" w:pos="992"/>
          <w:tab w:val="clear" w:pos="1134"/>
        </w:tabs>
        <w:spacing w:before="480" w:after="120" w:line="240" w:lineRule="atLeast"/>
        <w:ind w:left="851" w:hanging="851"/>
        <w:textAlignment w:val="auto"/>
      </w:pPr>
      <w:bookmarkStart w:id="135" w:name="_Toc358786235"/>
      <w:r w:rsidRPr="001555C8">
        <w:t>Pensionskommission</w:t>
      </w:r>
      <w:bookmarkEnd w:id="135"/>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tcPr>
          <w:p w:rsidR="000A4E83" w:rsidRPr="001555C8" w:rsidRDefault="00896579" w:rsidP="00CC15AA">
            <w:pPr>
              <w:pStyle w:val="Artikel"/>
              <w:tabs>
                <w:tab w:val="left" w:pos="199"/>
              </w:tabs>
              <w:rPr>
                <w:position w:val="4"/>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E84AA8" w:rsidRPr="001555C8">
              <w:rPr>
                <w:sz w:val="20"/>
              </w:rPr>
              <w:t>Die Pensionskommission</w:t>
            </w:r>
            <w:r w:rsidR="000A4E83" w:rsidRPr="001555C8">
              <w:rPr>
                <w:sz w:val="20"/>
              </w:rPr>
              <w:t xml:space="preserve"> besteht aus 12 Mitgliedern. 6 Arbeitgeber-Vertreter werden vom </w:t>
            </w:r>
            <w:r w:rsidR="00CC15AA" w:rsidRPr="001555C8">
              <w:rPr>
                <w:sz w:val="20"/>
              </w:rPr>
              <w:t>Stadtrat Olten</w:t>
            </w:r>
            <w:r w:rsidR="000A4E83" w:rsidRPr="001555C8">
              <w:rPr>
                <w:sz w:val="20"/>
              </w:rPr>
              <w:t xml:space="preserve"> bestimmt, 6 Arbeitnehmer-Vertreter werden gemäss besonderem Wahlreglement von den Versicherten gewählt.</w:t>
            </w:r>
          </w:p>
        </w:tc>
      </w:tr>
      <w:tr w:rsidR="000A4E83" w:rsidRPr="001555C8" w:rsidTr="003809B6">
        <w:trPr>
          <w:cantSplit/>
          <w:trHeight w:val="400"/>
        </w:trPr>
        <w:tc>
          <w:tcPr>
            <w:tcW w:w="9072" w:type="dxa"/>
          </w:tcPr>
          <w:p w:rsidR="000A4E83" w:rsidRPr="001555C8" w:rsidRDefault="00896579" w:rsidP="00CC15AA">
            <w:pPr>
              <w:pStyle w:val="Artikel"/>
              <w:tabs>
                <w:tab w:val="left" w:pos="199"/>
              </w:tabs>
              <w:rPr>
                <w:sz w:val="18"/>
                <w:szCs w:val="18"/>
                <w:vertAlign w:val="superscript"/>
              </w:rPr>
            </w:pPr>
            <w:fldSimple w:instr=" SEQ Abs1 \* ARABIC \* MERGEFORMAT ">
              <w:r w:rsidR="006674A1" w:rsidRPr="006674A1">
                <w:rPr>
                  <w:noProof/>
                  <w:color w:val="000000"/>
                  <w:sz w:val="18"/>
                  <w:szCs w:val="18"/>
                  <w:vertAlign w:val="superscript"/>
                </w:rPr>
                <w:t>2</w:t>
              </w:r>
            </w:fldSimple>
            <w:r w:rsidR="000A4E83" w:rsidRPr="001555C8">
              <w:rPr>
                <w:sz w:val="18"/>
                <w:szCs w:val="18"/>
              </w:rPr>
              <w:tab/>
            </w:r>
            <w:r w:rsidR="00CC15AA" w:rsidRPr="001555C8">
              <w:rPr>
                <w:sz w:val="20"/>
              </w:rPr>
              <w:t>Der Stadtrat</w:t>
            </w:r>
            <w:r w:rsidR="000A4E83" w:rsidRPr="001555C8">
              <w:rPr>
                <w:sz w:val="20"/>
              </w:rPr>
              <w:t xml:space="preserve"> achtet auf eine angemessene Vertretung der verschiedenen Arbeitgeber. Das Wahlreglement hat eine angemessene Vertretung der Versichertengruppen vorzusehen.</w:t>
            </w:r>
          </w:p>
        </w:tc>
      </w:tr>
      <w:tr w:rsidR="000A4E83" w:rsidRPr="001555C8" w:rsidTr="003809B6">
        <w:trPr>
          <w:cantSplit/>
          <w:trHeight w:val="400"/>
        </w:trPr>
        <w:tc>
          <w:tcPr>
            <w:tcW w:w="9072" w:type="dxa"/>
          </w:tcPr>
          <w:p w:rsidR="000A4E83" w:rsidRPr="001555C8" w:rsidRDefault="00896579" w:rsidP="00CC15AA">
            <w:pPr>
              <w:tabs>
                <w:tab w:val="left" w:pos="199"/>
              </w:tabs>
              <w:overflowPunct/>
              <w:spacing w:after="120"/>
              <w:jc w:val="both"/>
              <w:rPr>
                <w:color w:val="000000"/>
                <w:sz w:val="18"/>
                <w:szCs w:val="18"/>
                <w:vertAlign w:val="superscript"/>
              </w:rPr>
            </w:pPr>
            <w:fldSimple w:instr=" SEQ Abs1 \* ARABIC \* MERGEFORMAT ">
              <w:r w:rsidR="006674A1" w:rsidRPr="006674A1">
                <w:rPr>
                  <w:noProof/>
                  <w:color w:val="000000"/>
                  <w:sz w:val="18"/>
                  <w:szCs w:val="18"/>
                  <w:vertAlign w:val="superscript"/>
                </w:rPr>
                <w:t>3</w:t>
              </w:r>
            </w:fldSimple>
            <w:r w:rsidR="000A4E83" w:rsidRPr="001555C8">
              <w:rPr>
                <w:sz w:val="18"/>
                <w:szCs w:val="18"/>
              </w:rPr>
              <w:tab/>
            </w:r>
            <w:r w:rsidR="000A4E83" w:rsidRPr="001555C8">
              <w:rPr>
                <w:rFonts w:cs="Arial"/>
                <w:sz w:val="20"/>
              </w:rPr>
              <w:t xml:space="preserve">Die Mitglieder </w:t>
            </w:r>
            <w:r w:rsidR="00CC15AA" w:rsidRPr="001555C8">
              <w:rPr>
                <w:rFonts w:cs="Arial"/>
                <w:sz w:val="20"/>
              </w:rPr>
              <w:t>der Pensionskommission</w:t>
            </w:r>
            <w:r w:rsidR="000A4E83" w:rsidRPr="001555C8">
              <w:rPr>
                <w:rFonts w:cs="Arial"/>
                <w:sz w:val="20"/>
              </w:rPr>
              <w:t xml:space="preserve"> sollen die erforderlichen Fähigkeiten für die Wahrnehmung ihres Amtes haben, einen guten Ruf geniessen und jederzeit Gewähr für eine einwandfreie Geschäftsführung bieten.</w:t>
            </w:r>
          </w:p>
        </w:tc>
      </w:tr>
      <w:tr w:rsidR="000A4E83" w:rsidRPr="001555C8" w:rsidTr="003809B6">
        <w:trPr>
          <w:cantSplit/>
          <w:trHeight w:val="400"/>
        </w:trPr>
        <w:tc>
          <w:tcPr>
            <w:tcW w:w="9072" w:type="dxa"/>
          </w:tcPr>
          <w:p w:rsidR="000A4E83" w:rsidRPr="001555C8" w:rsidRDefault="00896579" w:rsidP="00D21CC7">
            <w:pPr>
              <w:pStyle w:val="Artikel"/>
              <w:tabs>
                <w:tab w:val="left" w:pos="199"/>
              </w:tabs>
              <w:rPr>
                <w:position w:val="4"/>
                <w:sz w:val="18"/>
                <w:szCs w:val="18"/>
              </w:rPr>
            </w:pPr>
            <w:fldSimple w:instr=" SEQ Abs1 \* ARABIC \* MERGEFORMAT ">
              <w:r w:rsidR="006674A1" w:rsidRPr="006674A1">
                <w:rPr>
                  <w:noProof/>
                  <w:color w:val="000000"/>
                  <w:sz w:val="18"/>
                  <w:szCs w:val="18"/>
                  <w:vertAlign w:val="superscript"/>
                </w:rPr>
                <w:t>4</w:t>
              </w:r>
            </w:fldSimple>
            <w:r w:rsidR="000A4E83" w:rsidRPr="001555C8">
              <w:rPr>
                <w:sz w:val="18"/>
                <w:szCs w:val="18"/>
              </w:rPr>
              <w:tab/>
            </w:r>
            <w:r w:rsidR="000A4E83" w:rsidRPr="001555C8">
              <w:rPr>
                <w:sz w:val="20"/>
              </w:rPr>
              <w:t xml:space="preserve">Die Amtsdauer beträgt vier Jahre. Wiederwahl ist möglich. </w:t>
            </w:r>
          </w:p>
        </w:tc>
      </w:tr>
      <w:tr w:rsidR="000A4E83" w:rsidRPr="001555C8" w:rsidTr="003809B6">
        <w:trPr>
          <w:cantSplit/>
          <w:trHeight w:val="400"/>
        </w:trPr>
        <w:tc>
          <w:tcPr>
            <w:tcW w:w="9072" w:type="dxa"/>
          </w:tcPr>
          <w:p w:rsidR="000A4E83" w:rsidRPr="001555C8" w:rsidRDefault="00896579" w:rsidP="00D21CC7">
            <w:pPr>
              <w:pStyle w:val="Artikel"/>
              <w:tabs>
                <w:tab w:val="left" w:pos="199"/>
              </w:tabs>
              <w:rPr>
                <w:position w:val="4"/>
                <w:sz w:val="18"/>
                <w:szCs w:val="18"/>
              </w:rPr>
            </w:pPr>
            <w:fldSimple w:instr=" SEQ Abs1 \* ARABIC \* MERGEFORMAT ">
              <w:r w:rsidR="006674A1" w:rsidRPr="006674A1">
                <w:rPr>
                  <w:noProof/>
                  <w:color w:val="000000"/>
                  <w:sz w:val="18"/>
                  <w:szCs w:val="18"/>
                  <w:vertAlign w:val="superscript"/>
                </w:rPr>
                <w:t>5</w:t>
              </w:r>
            </w:fldSimple>
            <w:r w:rsidR="000A4E83" w:rsidRPr="001555C8">
              <w:rPr>
                <w:sz w:val="18"/>
                <w:szCs w:val="18"/>
              </w:rPr>
              <w:tab/>
            </w:r>
            <w:r w:rsidR="00CC15AA" w:rsidRPr="001555C8">
              <w:rPr>
                <w:sz w:val="20"/>
              </w:rPr>
              <w:t>Die Pensionskommission</w:t>
            </w:r>
            <w:r w:rsidR="000A4E83" w:rsidRPr="001555C8">
              <w:rPr>
                <w:sz w:val="20"/>
              </w:rPr>
              <w:t xml:space="preserve"> konstituiert sich selber. </w:t>
            </w:r>
          </w:p>
        </w:tc>
      </w:tr>
    </w:tbl>
    <w:p w:rsidR="00136217" w:rsidRPr="001555C8" w:rsidRDefault="00136217" w:rsidP="009F38F0">
      <w:pPr>
        <w:pStyle w:val="Textkrper"/>
      </w:pPr>
    </w:p>
    <w:p w:rsidR="009F38F0" w:rsidRPr="001555C8" w:rsidRDefault="00CC15AA" w:rsidP="009F38F0">
      <w:pPr>
        <w:pStyle w:val="Textkrper"/>
      </w:pPr>
      <w:r w:rsidRPr="001555C8">
        <w:t>Die Pensionskommission</w:t>
      </w:r>
      <w:r w:rsidR="009F38F0" w:rsidRPr="001555C8">
        <w:t xml:space="preserve"> als strategisches oberstes Organ soll </w:t>
      </w:r>
      <w:r w:rsidRPr="001555C8">
        <w:t xml:space="preserve">weiterhin </w:t>
      </w:r>
      <w:r w:rsidR="009F38F0" w:rsidRPr="001555C8">
        <w:t>aus 12 Mitgliedern bestehen. Die Arbeitgeber</w:t>
      </w:r>
      <w:r w:rsidR="002F5031" w:rsidRPr="001555C8">
        <w:t>-V</w:t>
      </w:r>
      <w:r w:rsidR="009F38F0" w:rsidRPr="001555C8">
        <w:t xml:space="preserve">ertreter sind durch den </w:t>
      </w:r>
      <w:r w:rsidRPr="001555C8">
        <w:t>Stadtrat</w:t>
      </w:r>
      <w:r w:rsidR="009F38F0" w:rsidRPr="001555C8">
        <w:t>, die Arbeitnehmer</w:t>
      </w:r>
      <w:r w:rsidR="002F5031" w:rsidRPr="001555C8">
        <w:t>-V</w:t>
      </w:r>
      <w:r w:rsidR="009F38F0" w:rsidRPr="001555C8">
        <w:t>ertreter durch die Versicherten zu bestimmen. Die Wahl der Arbeitnehmer</w:t>
      </w:r>
      <w:r w:rsidR="002F5031" w:rsidRPr="001555C8">
        <w:t>-V</w:t>
      </w:r>
      <w:r w:rsidR="009F38F0" w:rsidRPr="001555C8">
        <w:t xml:space="preserve">ertreter ist </w:t>
      </w:r>
      <w:r w:rsidRPr="001555C8">
        <w:t>in einem</w:t>
      </w:r>
      <w:r w:rsidR="009F38F0" w:rsidRPr="001555C8">
        <w:t xml:space="preserve"> Wahlreglement zu regeln, bspw. bezüglich der Frage, ob auch externe Vertreter zugelassen werden sollen.</w:t>
      </w:r>
      <w:r w:rsidRPr="001555C8">
        <w:t xml:space="preserve"> </w:t>
      </w:r>
      <w:r w:rsidR="009F38F0" w:rsidRPr="001555C8">
        <w:t xml:space="preserve">Da nebst </w:t>
      </w:r>
      <w:r w:rsidR="00C97DFC" w:rsidRPr="001555C8">
        <w:t>der</w:t>
      </w:r>
      <w:r w:rsidR="009F38F0" w:rsidRPr="001555C8">
        <w:t xml:space="preserve"> </w:t>
      </w:r>
      <w:r w:rsidR="00CF07E0" w:rsidRPr="001555C8">
        <w:t>Stadt</w:t>
      </w:r>
      <w:r w:rsidR="009F38F0" w:rsidRPr="001555C8">
        <w:t xml:space="preserve"> auch andere Arbeitgeber der </w:t>
      </w:r>
      <w:r w:rsidR="00151258" w:rsidRPr="001555C8">
        <w:t>PK Olten</w:t>
      </w:r>
      <w:r w:rsidR="009F38F0" w:rsidRPr="001555C8">
        <w:t xml:space="preserve"> angeschlossen sind, ist sowohl bei der Wahl durch den </w:t>
      </w:r>
      <w:r w:rsidRPr="001555C8">
        <w:t>Stadtrat</w:t>
      </w:r>
      <w:r w:rsidR="009F38F0" w:rsidRPr="001555C8">
        <w:t xml:space="preserve"> als auch im Wahlreglement auf eine angemessene Vertretung zu achten.</w:t>
      </w:r>
      <w:r w:rsidRPr="001555C8">
        <w:t xml:space="preserve"> </w:t>
      </w:r>
      <w:r w:rsidR="009F38F0" w:rsidRPr="001555C8">
        <w:t>Das BVG definiert die Anforderung an die Mitglieder des obersten Organs.</w:t>
      </w:r>
      <w:r w:rsidRPr="001555C8">
        <w:t xml:space="preserve"> </w:t>
      </w:r>
      <w:r w:rsidR="009F38F0" w:rsidRPr="001555C8">
        <w:t xml:space="preserve">Die Amtsdauer soll 4 Jahre betragen. Die Konstituierung </w:t>
      </w:r>
      <w:r w:rsidRPr="001555C8">
        <w:t>der Pensionskommission</w:t>
      </w:r>
      <w:r w:rsidR="009F38F0" w:rsidRPr="001555C8">
        <w:t xml:space="preserve"> wird </w:t>
      </w:r>
      <w:r w:rsidR="0082778F" w:rsidRPr="001555C8">
        <w:t>ihr selbst</w:t>
      </w:r>
      <w:r w:rsidR="009F38F0" w:rsidRPr="001555C8">
        <w:t xml:space="preserve"> überlassen. Damit wird der Grundgedanke der paritätischen sozialpartnerschaftlichen Führung einer Vorsorge Rechnung getragen.</w:t>
      </w:r>
    </w:p>
    <w:p w:rsidR="00B346D3" w:rsidRPr="001555C8" w:rsidRDefault="00B346D3">
      <w:pPr>
        <w:overflowPunct/>
        <w:autoSpaceDE/>
        <w:autoSpaceDN/>
        <w:adjustRightInd/>
        <w:textAlignment w:val="auto"/>
        <w:rPr>
          <w:rFonts w:cs="Arial"/>
          <w:b/>
          <w:bCs/>
          <w:iCs/>
          <w:szCs w:val="28"/>
        </w:rPr>
      </w:pPr>
      <w:bookmarkStart w:id="136" w:name="_Toc334545154"/>
      <w:r w:rsidRPr="001555C8">
        <w:br w:type="page"/>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37" w:name="_Toc358786236"/>
      <w:r w:rsidRPr="001555C8">
        <w:t xml:space="preserve">Aufgaben </w:t>
      </w:r>
      <w:bookmarkEnd w:id="136"/>
      <w:r w:rsidR="00CC15AA" w:rsidRPr="001555C8">
        <w:t>der Pensionskommission</w:t>
      </w:r>
      <w:bookmarkEnd w:id="137"/>
    </w:p>
    <w:tbl>
      <w:tblPr>
        <w:tblW w:w="9072" w:type="dxa"/>
        <w:tblInd w:w="85" w:type="dxa"/>
        <w:tblLayout w:type="fixed"/>
        <w:tblCellMar>
          <w:left w:w="85" w:type="dxa"/>
          <w:right w:w="85" w:type="dxa"/>
        </w:tblCellMar>
        <w:tblLook w:val="04A0"/>
      </w:tblPr>
      <w:tblGrid>
        <w:gridCol w:w="9072"/>
      </w:tblGrid>
      <w:tr w:rsidR="00F938CD" w:rsidRPr="001555C8" w:rsidTr="003809B6">
        <w:trPr>
          <w:cantSplit/>
          <w:trHeight w:val="400"/>
        </w:trPr>
        <w:tc>
          <w:tcPr>
            <w:tcW w:w="9072" w:type="dxa"/>
          </w:tcPr>
          <w:p w:rsidR="00F938CD" w:rsidRPr="001555C8" w:rsidRDefault="00896579" w:rsidP="00425FAC">
            <w:pPr>
              <w:pStyle w:val="Artikel"/>
              <w:tabs>
                <w:tab w:val="left" w:pos="199"/>
              </w:tabs>
              <w:rPr>
                <w:sz w:val="18"/>
                <w:szCs w:val="18"/>
                <w:vertAlign w:val="superscript"/>
              </w:rPr>
            </w:pPr>
            <w:fldSimple w:instr=" SEQ Abs1 \* ARABIC \r 1 \* MERGEFORMAT ">
              <w:r w:rsidR="006674A1" w:rsidRPr="006674A1">
                <w:rPr>
                  <w:noProof/>
                  <w:sz w:val="18"/>
                  <w:szCs w:val="18"/>
                  <w:vertAlign w:val="superscript"/>
                </w:rPr>
                <w:t>1</w:t>
              </w:r>
            </w:fldSimple>
            <w:r w:rsidR="00F938CD" w:rsidRPr="001555C8">
              <w:rPr>
                <w:sz w:val="18"/>
                <w:szCs w:val="18"/>
              </w:rPr>
              <w:tab/>
            </w:r>
            <w:r w:rsidR="00F938CD" w:rsidRPr="001555C8">
              <w:rPr>
                <w:sz w:val="20"/>
              </w:rPr>
              <w:t xml:space="preserve">Die Pensionskommission ist das oberste Organ der PK Olten. Sie nimmt die </w:t>
            </w:r>
            <w:r w:rsidR="00425FAC" w:rsidRPr="001555C8">
              <w:rPr>
                <w:sz w:val="20"/>
              </w:rPr>
              <w:t xml:space="preserve">gemäss BVG festgehaltenen Aufgaben des obersten Organs </w:t>
            </w:r>
            <w:r w:rsidR="00F938CD" w:rsidRPr="001555C8">
              <w:rPr>
                <w:sz w:val="20"/>
              </w:rPr>
              <w:t>wahr und sorgt für die Erfüllung der Aufgaben aufgrund der gesetzlichen Regelungen des Bundes und dieser Statuten. Sie bestimmt die strategischen Ziele und Grundsätze der PK Olten sowie die Mittel zu ihrer Erfüllung, soweit nicht der Gesetzgeber dafür zuständig ist. Weiter sorgt sie für die finanzielle Stabilität der PK Olten und leitet die dafür notwendigen Massnahmen wie Anpassungen des Vorsorgeplans in nützlicher Frist ein. Zudem überwacht sie die Geschäftsstelle der PK Olten.</w:t>
            </w:r>
          </w:p>
        </w:tc>
      </w:tr>
      <w:tr w:rsidR="000A4E83" w:rsidRPr="001555C8" w:rsidTr="003809B6">
        <w:trPr>
          <w:cantSplit/>
          <w:trHeight w:val="400"/>
        </w:trPr>
        <w:tc>
          <w:tcPr>
            <w:tcW w:w="9072" w:type="dxa"/>
          </w:tcPr>
          <w:p w:rsidR="000A4E83" w:rsidRPr="001555C8" w:rsidRDefault="00896579">
            <w:pPr>
              <w:pStyle w:val="Artikel"/>
              <w:tabs>
                <w:tab w:val="left" w:pos="199"/>
              </w:tabs>
              <w:rPr>
                <w:sz w:val="20"/>
              </w:rPr>
            </w:pPr>
            <w:fldSimple w:instr=" SEQ Abs1 \* ARABIC \* MERGEFORMAT ">
              <w:r w:rsidR="006674A1" w:rsidRPr="006674A1">
                <w:rPr>
                  <w:noProof/>
                  <w:sz w:val="18"/>
                  <w:szCs w:val="18"/>
                  <w:vertAlign w:val="superscript"/>
                </w:rPr>
                <w:t>2</w:t>
              </w:r>
            </w:fldSimple>
            <w:r w:rsidR="000A4E83" w:rsidRPr="001555C8">
              <w:rPr>
                <w:sz w:val="18"/>
                <w:szCs w:val="18"/>
              </w:rPr>
              <w:tab/>
            </w:r>
            <w:r w:rsidR="00CC15AA" w:rsidRPr="001555C8">
              <w:rPr>
                <w:sz w:val="20"/>
              </w:rPr>
              <w:t>Die Pensionskommission</w:t>
            </w:r>
            <w:r w:rsidR="000A4E83" w:rsidRPr="001555C8">
              <w:rPr>
                <w:sz w:val="20"/>
              </w:rPr>
              <w:t xml:space="preserve"> erlässt die zur Durchführung erforderlichen Reglemente, insbesondere über:</w:t>
            </w:r>
          </w:p>
          <w:p w:rsidR="000A4E83" w:rsidRPr="001555C8" w:rsidRDefault="000A4E83" w:rsidP="00786C73">
            <w:pPr>
              <w:pStyle w:val="Artikel"/>
              <w:numPr>
                <w:ilvl w:val="0"/>
                <w:numId w:val="23"/>
              </w:numPr>
              <w:tabs>
                <w:tab w:val="clear" w:pos="284"/>
                <w:tab w:val="left" w:pos="199"/>
              </w:tabs>
              <w:rPr>
                <w:sz w:val="20"/>
              </w:rPr>
            </w:pPr>
            <w:r w:rsidRPr="001555C8">
              <w:rPr>
                <w:sz w:val="20"/>
              </w:rPr>
              <w:t xml:space="preserve">die Vorsorge, </w:t>
            </w:r>
          </w:p>
          <w:p w:rsidR="000A4E83" w:rsidRPr="001555C8" w:rsidRDefault="000A4E83" w:rsidP="00786C73">
            <w:pPr>
              <w:pStyle w:val="Artikel"/>
              <w:numPr>
                <w:ilvl w:val="0"/>
                <w:numId w:val="23"/>
              </w:numPr>
              <w:tabs>
                <w:tab w:val="clear" w:pos="284"/>
                <w:tab w:val="left" w:pos="199"/>
              </w:tabs>
              <w:rPr>
                <w:sz w:val="20"/>
              </w:rPr>
            </w:pPr>
            <w:r w:rsidRPr="001555C8">
              <w:rPr>
                <w:sz w:val="20"/>
              </w:rPr>
              <w:t>die Aufgaben</w:t>
            </w:r>
            <w:r w:rsidR="00D21CC7" w:rsidRPr="001555C8">
              <w:rPr>
                <w:sz w:val="20"/>
              </w:rPr>
              <w:t>,</w:t>
            </w:r>
            <w:r w:rsidRPr="001555C8">
              <w:rPr>
                <w:sz w:val="20"/>
              </w:rPr>
              <w:t xml:space="preserve"> die Organisation</w:t>
            </w:r>
            <w:r w:rsidR="00D21CC7" w:rsidRPr="001555C8">
              <w:rPr>
                <w:sz w:val="20"/>
              </w:rPr>
              <w:t xml:space="preserve"> und ihre Entschädigung</w:t>
            </w:r>
          </w:p>
          <w:p w:rsidR="000A4E83" w:rsidRPr="001555C8" w:rsidRDefault="000A4E83" w:rsidP="00786C73">
            <w:pPr>
              <w:pStyle w:val="Artikel"/>
              <w:numPr>
                <w:ilvl w:val="0"/>
                <w:numId w:val="23"/>
              </w:numPr>
              <w:tabs>
                <w:tab w:val="clear" w:pos="284"/>
                <w:tab w:val="left" w:pos="199"/>
              </w:tabs>
              <w:rPr>
                <w:sz w:val="20"/>
              </w:rPr>
            </w:pPr>
            <w:r w:rsidRPr="001555C8">
              <w:rPr>
                <w:sz w:val="20"/>
              </w:rPr>
              <w:t>die Anlage des Vermögens,</w:t>
            </w:r>
          </w:p>
          <w:p w:rsidR="000A4E83" w:rsidRPr="001555C8" w:rsidRDefault="000A4E83" w:rsidP="00786C73">
            <w:pPr>
              <w:pStyle w:val="Artikel"/>
              <w:numPr>
                <w:ilvl w:val="0"/>
                <w:numId w:val="23"/>
              </w:numPr>
              <w:tabs>
                <w:tab w:val="clear" w:pos="284"/>
                <w:tab w:val="left" w:pos="199"/>
              </w:tabs>
              <w:rPr>
                <w:sz w:val="20"/>
              </w:rPr>
            </w:pPr>
            <w:r w:rsidRPr="001555C8">
              <w:rPr>
                <w:sz w:val="20"/>
              </w:rPr>
              <w:t>die Bestimmungen im Falle einer Teilliquidation</w:t>
            </w:r>
            <w:r w:rsidR="00D21CC7" w:rsidRPr="001555C8">
              <w:rPr>
                <w:sz w:val="20"/>
              </w:rPr>
              <w:t xml:space="preserve"> sowie</w:t>
            </w:r>
          </w:p>
          <w:p w:rsidR="000A4E83" w:rsidRPr="001555C8" w:rsidRDefault="000A4E83" w:rsidP="00786C73">
            <w:pPr>
              <w:pStyle w:val="Artikel"/>
              <w:numPr>
                <w:ilvl w:val="0"/>
                <w:numId w:val="23"/>
              </w:numPr>
              <w:tabs>
                <w:tab w:val="clear" w:pos="284"/>
                <w:tab w:val="left" w:pos="199"/>
              </w:tabs>
              <w:rPr>
                <w:sz w:val="18"/>
                <w:szCs w:val="18"/>
              </w:rPr>
            </w:pPr>
            <w:r w:rsidRPr="001555C8">
              <w:rPr>
                <w:sz w:val="20"/>
              </w:rPr>
              <w:t>die Rückstellungen und die Verzinsungsregeln.</w:t>
            </w:r>
          </w:p>
        </w:tc>
      </w:tr>
      <w:tr w:rsidR="000A4E83" w:rsidRPr="001555C8" w:rsidTr="003809B6">
        <w:trPr>
          <w:cantSplit/>
          <w:trHeight w:val="400"/>
        </w:trPr>
        <w:tc>
          <w:tcPr>
            <w:tcW w:w="9072" w:type="dxa"/>
          </w:tcPr>
          <w:p w:rsidR="000A4E83" w:rsidRPr="001555C8" w:rsidRDefault="00896579">
            <w:pPr>
              <w:pStyle w:val="Artikel"/>
              <w:tabs>
                <w:tab w:val="left" w:pos="199"/>
              </w:tabs>
              <w:rPr>
                <w:sz w:val="20"/>
              </w:rPr>
            </w:pPr>
            <w:fldSimple w:instr=" SEQ Abs1 \* ARABIC \* MERGEFORMAT ">
              <w:r w:rsidR="006674A1" w:rsidRPr="006674A1">
                <w:rPr>
                  <w:noProof/>
                  <w:sz w:val="18"/>
                  <w:szCs w:val="18"/>
                  <w:vertAlign w:val="superscript"/>
                </w:rPr>
                <w:t>3</w:t>
              </w:r>
            </w:fldSimple>
            <w:r w:rsidR="000A4E83" w:rsidRPr="001555C8">
              <w:rPr>
                <w:sz w:val="18"/>
                <w:szCs w:val="18"/>
              </w:rPr>
              <w:tab/>
            </w:r>
            <w:r w:rsidR="00CC15AA" w:rsidRPr="001555C8">
              <w:rPr>
                <w:sz w:val="20"/>
              </w:rPr>
              <w:t>Die Pensionskommission</w:t>
            </w:r>
            <w:r w:rsidR="000A4E83" w:rsidRPr="001555C8">
              <w:rPr>
                <w:sz w:val="20"/>
              </w:rPr>
              <w:t xml:space="preserve"> nimmt zudem folgende Aufgaben wahr:</w:t>
            </w:r>
          </w:p>
          <w:p w:rsidR="000A4E83" w:rsidRPr="001555C8" w:rsidRDefault="000A4E83" w:rsidP="00786C73">
            <w:pPr>
              <w:pStyle w:val="Artikel"/>
              <w:numPr>
                <w:ilvl w:val="0"/>
                <w:numId w:val="24"/>
              </w:numPr>
              <w:tabs>
                <w:tab w:val="clear" w:pos="284"/>
                <w:tab w:val="left" w:pos="199"/>
              </w:tabs>
              <w:rPr>
                <w:sz w:val="20"/>
              </w:rPr>
            </w:pPr>
            <w:r w:rsidRPr="001555C8">
              <w:rPr>
                <w:sz w:val="20"/>
              </w:rPr>
              <w:t xml:space="preserve">die Wahl der Revisionsstelle </w:t>
            </w:r>
          </w:p>
          <w:p w:rsidR="000A4E83" w:rsidRPr="001555C8" w:rsidRDefault="000A4E83" w:rsidP="00786C73">
            <w:pPr>
              <w:pStyle w:val="Artikel"/>
              <w:numPr>
                <w:ilvl w:val="0"/>
                <w:numId w:val="24"/>
              </w:numPr>
              <w:tabs>
                <w:tab w:val="clear" w:pos="284"/>
                <w:tab w:val="left" w:pos="199"/>
              </w:tabs>
              <w:rPr>
                <w:sz w:val="20"/>
              </w:rPr>
            </w:pPr>
            <w:r w:rsidRPr="001555C8">
              <w:rPr>
                <w:sz w:val="20"/>
              </w:rPr>
              <w:t>die Wahl des Experten für die berufliche Vorsorge</w:t>
            </w:r>
          </w:p>
          <w:p w:rsidR="000A4E83" w:rsidRPr="001555C8" w:rsidRDefault="000A4E83" w:rsidP="00786C73">
            <w:pPr>
              <w:pStyle w:val="Artikel"/>
              <w:numPr>
                <w:ilvl w:val="0"/>
                <w:numId w:val="24"/>
              </w:numPr>
              <w:tabs>
                <w:tab w:val="clear" w:pos="284"/>
                <w:tab w:val="left" w:pos="199"/>
              </w:tabs>
              <w:rPr>
                <w:sz w:val="18"/>
                <w:szCs w:val="18"/>
              </w:rPr>
            </w:pPr>
            <w:r w:rsidRPr="001555C8">
              <w:rPr>
                <w:sz w:val="20"/>
              </w:rPr>
              <w:t xml:space="preserve">die Wahl </w:t>
            </w:r>
            <w:r w:rsidR="00CC15AA" w:rsidRPr="001555C8">
              <w:rPr>
                <w:sz w:val="20"/>
              </w:rPr>
              <w:t>des Geschäftsführers</w:t>
            </w:r>
          </w:p>
        </w:tc>
      </w:tr>
      <w:tr w:rsidR="000A4E83" w:rsidRPr="001555C8" w:rsidTr="003809B6">
        <w:trPr>
          <w:cantSplit/>
          <w:trHeight w:val="400"/>
        </w:trPr>
        <w:tc>
          <w:tcPr>
            <w:tcW w:w="9072" w:type="dxa"/>
          </w:tcPr>
          <w:p w:rsidR="000A4E83" w:rsidRPr="001555C8" w:rsidRDefault="00896579" w:rsidP="001A100E">
            <w:pPr>
              <w:tabs>
                <w:tab w:val="left" w:pos="284"/>
              </w:tabs>
              <w:spacing w:after="120" w:line="240" w:lineRule="atLeast"/>
              <w:jc w:val="both"/>
              <w:textAlignment w:val="auto"/>
              <w:rPr>
                <w:position w:val="4"/>
                <w:sz w:val="18"/>
                <w:szCs w:val="18"/>
              </w:rPr>
            </w:pPr>
            <w:fldSimple w:instr=" SEQ Abs1 \* ARABIC \* MERGEFORMAT ">
              <w:r w:rsidR="006674A1" w:rsidRPr="006674A1">
                <w:rPr>
                  <w:noProof/>
                  <w:sz w:val="18"/>
                  <w:szCs w:val="18"/>
                  <w:vertAlign w:val="superscript"/>
                </w:rPr>
                <w:t>4</w:t>
              </w:r>
            </w:fldSimple>
            <w:r w:rsidR="000A4E83" w:rsidRPr="001555C8">
              <w:rPr>
                <w:sz w:val="18"/>
                <w:szCs w:val="18"/>
              </w:rPr>
              <w:tab/>
            </w:r>
            <w:r w:rsidR="00CC15AA" w:rsidRPr="001555C8">
              <w:rPr>
                <w:rFonts w:cs="Arial"/>
                <w:sz w:val="20"/>
              </w:rPr>
              <w:t>Die Pensionskommission</w:t>
            </w:r>
            <w:r w:rsidR="000A4E83" w:rsidRPr="001555C8">
              <w:rPr>
                <w:rFonts w:cs="Arial"/>
                <w:sz w:val="20"/>
              </w:rPr>
              <w:t xml:space="preserve"> kann für die Erfüllung </w:t>
            </w:r>
            <w:r w:rsidR="00CC15AA" w:rsidRPr="001555C8">
              <w:rPr>
                <w:rFonts w:cs="Arial"/>
                <w:sz w:val="20"/>
              </w:rPr>
              <w:t>ihrer</w:t>
            </w:r>
            <w:r w:rsidR="000A4E83" w:rsidRPr="001555C8">
              <w:rPr>
                <w:rFonts w:cs="Arial"/>
                <w:sz w:val="20"/>
              </w:rPr>
              <w:t xml:space="preserve"> Aufgabe Ausschüsse einsetzen. Deren Mitglieder müssen nicht </w:t>
            </w:r>
            <w:r w:rsidR="00CC15AA" w:rsidRPr="001555C8">
              <w:rPr>
                <w:rFonts w:cs="Arial"/>
                <w:sz w:val="20"/>
              </w:rPr>
              <w:t>der Pensionskommission</w:t>
            </w:r>
            <w:r w:rsidR="000A4E83" w:rsidRPr="001555C8">
              <w:rPr>
                <w:rFonts w:cs="Arial"/>
                <w:sz w:val="20"/>
              </w:rPr>
              <w:t xml:space="preserve"> angehören.</w:t>
            </w:r>
          </w:p>
        </w:tc>
      </w:tr>
    </w:tbl>
    <w:p w:rsidR="00136217" w:rsidRPr="001555C8" w:rsidRDefault="00136217" w:rsidP="009F38F0">
      <w:pPr>
        <w:pStyle w:val="Textkrper"/>
      </w:pPr>
    </w:p>
    <w:p w:rsidR="009F38F0" w:rsidRPr="001555C8" w:rsidRDefault="009F38F0" w:rsidP="009F38F0">
      <w:pPr>
        <w:pStyle w:val="Textkrper"/>
      </w:pPr>
      <w:r w:rsidRPr="001555C8">
        <w:t xml:space="preserve">Absatz 1 fasst die Hauptaufgaben </w:t>
      </w:r>
      <w:r w:rsidR="00CC15AA" w:rsidRPr="001555C8">
        <w:t>der Pensionskommission</w:t>
      </w:r>
      <w:r w:rsidRPr="001555C8">
        <w:t xml:space="preserve"> der </w:t>
      </w:r>
      <w:r w:rsidR="00151258" w:rsidRPr="001555C8">
        <w:t>PK Olten</w:t>
      </w:r>
      <w:r w:rsidRPr="001555C8">
        <w:t xml:space="preserve"> zusammen. </w:t>
      </w:r>
      <w:r w:rsidR="00CC15AA" w:rsidRPr="001555C8">
        <w:t>Sie</w:t>
      </w:r>
      <w:r w:rsidRPr="001555C8">
        <w:t xml:space="preserve"> trägt eine hohe Verantwortung. Zudem ist </w:t>
      </w:r>
      <w:r w:rsidR="00CC15AA" w:rsidRPr="001555C8">
        <w:t>sie</w:t>
      </w:r>
      <w:r w:rsidRPr="001555C8">
        <w:t xml:space="preserve"> gehalten, bei drohendem Verlust der Stabilität einer Pensionskasse, z.B. wegen tiefen Zinsen, rechtzeitig Massnahmen einzuleiten. Denn dauert diese Frist zu lange, besteht die Gefahr, dass eine Generation profitiert, eine andere aber die Korrekturmassnahmen zahlt.</w:t>
      </w:r>
      <w:r w:rsidR="00CC15AA" w:rsidRPr="001555C8">
        <w:t xml:space="preserve"> </w:t>
      </w:r>
      <w:r w:rsidRPr="001555C8">
        <w:t xml:space="preserve">Damit die </w:t>
      </w:r>
      <w:r w:rsidR="00151258" w:rsidRPr="001555C8">
        <w:t>PK Olten</w:t>
      </w:r>
      <w:r w:rsidRPr="001555C8">
        <w:t xml:space="preserve"> funktionieren kann, hat </w:t>
      </w:r>
      <w:r w:rsidR="00CC15AA" w:rsidRPr="001555C8">
        <w:t>die Pensionskommission</w:t>
      </w:r>
      <w:r w:rsidRPr="001555C8">
        <w:t xml:space="preserve"> Reglemente über die Vorsorge, die Aufgaben und die Organisation, über die Anlage etc. zu erlassen. Falls nötig sind auch weitere Reglemente zu erstellen.</w:t>
      </w:r>
      <w:r w:rsidR="00CC15AA" w:rsidRPr="001555C8">
        <w:t xml:space="preserve"> </w:t>
      </w:r>
      <w:r w:rsidRPr="001555C8">
        <w:t xml:space="preserve">Absatz 3 regelt, welche Organe durch </w:t>
      </w:r>
      <w:r w:rsidR="00CC15AA" w:rsidRPr="001555C8">
        <w:t>die Pensionskommission</w:t>
      </w:r>
      <w:r w:rsidRPr="001555C8">
        <w:t xml:space="preserve"> zu wählen sind. Bei der Geschäftsstelle </w:t>
      </w:r>
      <w:r w:rsidR="00151258" w:rsidRPr="001555C8">
        <w:t>PK Olten</w:t>
      </w:r>
      <w:r w:rsidRPr="001555C8">
        <w:t xml:space="preserve"> sind es nicht sämtliche Mitarbeitende, sondern </w:t>
      </w:r>
      <w:r w:rsidR="00CC15AA" w:rsidRPr="001555C8">
        <w:t>der Geschäftsfü</w:t>
      </w:r>
      <w:r w:rsidR="00CC15AA" w:rsidRPr="001555C8">
        <w:t>h</w:t>
      </w:r>
      <w:r w:rsidR="00CC15AA" w:rsidRPr="001555C8">
        <w:t>rer</w:t>
      </w:r>
      <w:r w:rsidRPr="001555C8">
        <w:t>.</w:t>
      </w:r>
      <w:r w:rsidR="00CC15AA" w:rsidRPr="001555C8">
        <w:t xml:space="preserve"> </w:t>
      </w:r>
      <w:r w:rsidRPr="001555C8">
        <w:t xml:space="preserve">Damit </w:t>
      </w:r>
      <w:r w:rsidR="00CC15AA" w:rsidRPr="001555C8">
        <w:t xml:space="preserve">die Pensionskommission ihre </w:t>
      </w:r>
      <w:r w:rsidRPr="001555C8">
        <w:t xml:space="preserve">Ziele erfüllen kann, muss </w:t>
      </w:r>
      <w:r w:rsidR="00CC15AA" w:rsidRPr="001555C8">
        <w:t>sie</w:t>
      </w:r>
      <w:r w:rsidRPr="001555C8">
        <w:t xml:space="preserve"> auch Ausschüsse einsetzen können, z.B. einen Anlageausschuss. Diese kann </w:t>
      </w:r>
      <w:r w:rsidR="00CC15AA" w:rsidRPr="001555C8">
        <w:t>sie</w:t>
      </w:r>
      <w:r w:rsidRPr="001555C8">
        <w:t xml:space="preserve"> durchaus mit fremden Spezialisten bestellen, wobei die Gesamtverantwortung </w:t>
      </w:r>
      <w:r w:rsidR="00CC15AA" w:rsidRPr="001555C8">
        <w:t>bei ihr</w:t>
      </w:r>
      <w:r w:rsidRPr="001555C8">
        <w:t xml:space="preserve"> bleibt, da </w:t>
      </w:r>
      <w:r w:rsidR="00CC15AA" w:rsidRPr="001555C8">
        <w:t>sie</w:t>
      </w:r>
      <w:r w:rsidRPr="001555C8">
        <w:t xml:space="preserve"> diese nicht delegieren kann.</w:t>
      </w:r>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38" w:name="_Toc334545156"/>
      <w:bookmarkStart w:id="139" w:name="_Toc358786237"/>
      <w:r w:rsidRPr="001555C8">
        <w:t>Geschäftsstelle</w:t>
      </w:r>
      <w:bookmarkEnd w:id="138"/>
      <w:bookmarkEnd w:id="139"/>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tcPr>
          <w:p w:rsidR="000A4E83" w:rsidRPr="001555C8" w:rsidRDefault="00896579" w:rsidP="00CC15AA">
            <w:pPr>
              <w:pStyle w:val="Artikel"/>
              <w:tabs>
                <w:tab w:val="left" w:pos="199"/>
              </w:tabs>
              <w:rPr>
                <w:position w:val="4"/>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0A4E83" w:rsidRPr="001555C8">
              <w:rPr>
                <w:sz w:val="20"/>
              </w:rPr>
              <w:t xml:space="preserve">Die Geschäftsstelle führt und besorgt die laufenden Geschäfte der </w:t>
            </w:r>
            <w:r w:rsidR="00151258" w:rsidRPr="001555C8">
              <w:rPr>
                <w:sz w:val="20"/>
              </w:rPr>
              <w:t>PK Olten</w:t>
            </w:r>
            <w:r w:rsidR="000A4E83" w:rsidRPr="001555C8">
              <w:rPr>
                <w:sz w:val="20"/>
              </w:rPr>
              <w:t xml:space="preserve"> nach Massgabe der gesetzlichen Bestimmungen und den Weisungen </w:t>
            </w:r>
            <w:r w:rsidR="00CC15AA" w:rsidRPr="001555C8">
              <w:rPr>
                <w:sz w:val="20"/>
              </w:rPr>
              <w:t>der Pensionskommission</w:t>
            </w:r>
            <w:r w:rsidR="000A4E83" w:rsidRPr="001555C8">
              <w:rPr>
                <w:sz w:val="20"/>
              </w:rPr>
              <w:t xml:space="preserve">. Sie vertritt die </w:t>
            </w:r>
            <w:r w:rsidR="00151258" w:rsidRPr="001555C8">
              <w:rPr>
                <w:sz w:val="20"/>
              </w:rPr>
              <w:t>PK Olten</w:t>
            </w:r>
            <w:r w:rsidR="000A4E83" w:rsidRPr="001555C8">
              <w:rPr>
                <w:sz w:val="20"/>
              </w:rPr>
              <w:t xml:space="preserve"> nach aussen.</w:t>
            </w:r>
          </w:p>
        </w:tc>
      </w:tr>
      <w:tr w:rsidR="000A4E83" w:rsidRPr="001555C8" w:rsidTr="003809B6">
        <w:trPr>
          <w:cantSplit/>
          <w:trHeight w:val="400"/>
        </w:trPr>
        <w:tc>
          <w:tcPr>
            <w:tcW w:w="9072" w:type="dxa"/>
          </w:tcPr>
          <w:p w:rsidR="000A4E83" w:rsidRPr="001555C8" w:rsidRDefault="00896579" w:rsidP="00CC15AA">
            <w:pPr>
              <w:pStyle w:val="Artikel"/>
              <w:tabs>
                <w:tab w:val="left" w:pos="199"/>
              </w:tabs>
              <w:rPr>
                <w:position w:val="4"/>
                <w:sz w:val="18"/>
                <w:szCs w:val="18"/>
              </w:rPr>
            </w:pPr>
            <w:fldSimple w:instr=" SEQ Abs1 \* ARABIC \* MERGEFORMAT ">
              <w:r w:rsidR="006674A1" w:rsidRPr="006674A1">
                <w:rPr>
                  <w:noProof/>
                  <w:sz w:val="18"/>
                  <w:szCs w:val="18"/>
                  <w:vertAlign w:val="superscript"/>
                </w:rPr>
                <w:t>2</w:t>
              </w:r>
            </w:fldSimple>
            <w:r w:rsidR="000A4E83" w:rsidRPr="001555C8">
              <w:rPr>
                <w:sz w:val="18"/>
                <w:szCs w:val="18"/>
              </w:rPr>
              <w:tab/>
            </w:r>
            <w:r w:rsidR="000A4E83" w:rsidRPr="001555C8">
              <w:rPr>
                <w:sz w:val="20"/>
              </w:rPr>
              <w:t xml:space="preserve">Die Geschäftsstelle wird </w:t>
            </w:r>
            <w:r w:rsidR="00CC15AA" w:rsidRPr="001555C8">
              <w:rPr>
                <w:sz w:val="20"/>
              </w:rPr>
              <w:t>vom Geschäftsführer</w:t>
            </w:r>
            <w:r w:rsidR="000A4E83" w:rsidRPr="001555C8">
              <w:rPr>
                <w:sz w:val="20"/>
              </w:rPr>
              <w:t xml:space="preserve"> geleitet.</w:t>
            </w:r>
          </w:p>
        </w:tc>
      </w:tr>
    </w:tbl>
    <w:p w:rsidR="00136217" w:rsidRPr="001555C8" w:rsidRDefault="00136217" w:rsidP="009F38F0">
      <w:pPr>
        <w:pStyle w:val="Textkrper"/>
      </w:pPr>
    </w:p>
    <w:p w:rsidR="009F38F0" w:rsidRPr="001555C8" w:rsidRDefault="009F38F0" w:rsidP="009F38F0">
      <w:pPr>
        <w:pStyle w:val="Textkrper"/>
      </w:pPr>
      <w:r w:rsidRPr="001555C8">
        <w:t>Nebst den Aufgaben der Geschäftsstelle hält Absatz 1 fest, dass die Geschäftsstelle auch die Vertretung nach aussen einnimmt.</w:t>
      </w:r>
      <w:r w:rsidR="00CC15AA" w:rsidRPr="001555C8">
        <w:t xml:space="preserve"> </w:t>
      </w:r>
      <w:r w:rsidRPr="001555C8">
        <w:t xml:space="preserve">Die Leitung der Geschäftsstelle obliegt </w:t>
      </w:r>
      <w:r w:rsidR="00401242" w:rsidRPr="001555C8">
        <w:t>dem Geschäftsführer</w:t>
      </w:r>
      <w:r w:rsidRPr="001555C8">
        <w:t xml:space="preserve"> der </w:t>
      </w:r>
      <w:r w:rsidR="00151258" w:rsidRPr="001555C8">
        <w:t>PK Olten</w:t>
      </w:r>
      <w:r w:rsidRPr="001555C8">
        <w:t>.</w:t>
      </w:r>
    </w:p>
    <w:p w:rsidR="000A4E83" w:rsidRPr="001555C8" w:rsidRDefault="000A4E83" w:rsidP="00786C73">
      <w:pPr>
        <w:pStyle w:val="AenderungbisherigenRechtsGesetzestitel"/>
        <w:numPr>
          <w:ilvl w:val="0"/>
          <w:numId w:val="25"/>
        </w:numPr>
        <w:ind w:left="709" w:hanging="709"/>
        <w:rPr>
          <w:sz w:val="24"/>
        </w:rPr>
      </w:pPr>
      <w:r w:rsidRPr="001555C8">
        <w:rPr>
          <w:sz w:val="28"/>
        </w:rPr>
        <w:br w:type="page"/>
      </w:r>
      <w:bookmarkStart w:id="140" w:name="_Toc334545157"/>
      <w:r w:rsidRPr="001555C8">
        <w:rPr>
          <w:sz w:val="24"/>
        </w:rPr>
        <w:t>Übergangs- und Schlussbestimmungen</w:t>
      </w:r>
      <w:bookmarkEnd w:id="140"/>
    </w:p>
    <w:p w:rsidR="000A4E83" w:rsidRPr="001555C8" w:rsidRDefault="000A4E83" w:rsidP="00895CEF">
      <w:pPr>
        <w:pStyle w:val="berschrift2"/>
        <w:numPr>
          <w:ilvl w:val="1"/>
          <w:numId w:val="17"/>
        </w:numPr>
        <w:tabs>
          <w:tab w:val="clear" w:pos="992"/>
          <w:tab w:val="clear" w:pos="1134"/>
        </w:tabs>
        <w:spacing w:before="480" w:after="120" w:line="240" w:lineRule="atLeast"/>
        <w:ind w:left="851" w:hanging="851"/>
        <w:textAlignment w:val="auto"/>
      </w:pPr>
      <w:bookmarkStart w:id="141" w:name="_Toc334545158"/>
      <w:bookmarkStart w:id="142" w:name="_Toc358786238"/>
      <w:r w:rsidRPr="001555C8">
        <w:t>Übergangsbestimmung</w:t>
      </w:r>
      <w:bookmarkEnd w:id="141"/>
      <w:bookmarkEnd w:id="142"/>
    </w:p>
    <w:tbl>
      <w:tblPr>
        <w:tblW w:w="9072" w:type="dxa"/>
        <w:tblInd w:w="85" w:type="dxa"/>
        <w:tblLayout w:type="fixed"/>
        <w:tblCellMar>
          <w:left w:w="85" w:type="dxa"/>
          <w:right w:w="85" w:type="dxa"/>
        </w:tblCellMar>
        <w:tblLook w:val="04A0"/>
      </w:tblPr>
      <w:tblGrid>
        <w:gridCol w:w="9072"/>
      </w:tblGrid>
      <w:tr w:rsidR="000A4E83" w:rsidRPr="001555C8" w:rsidTr="003809B6">
        <w:trPr>
          <w:cantSplit/>
          <w:trHeight w:val="400"/>
        </w:trPr>
        <w:tc>
          <w:tcPr>
            <w:tcW w:w="9072" w:type="dxa"/>
          </w:tcPr>
          <w:p w:rsidR="00CE78BD" w:rsidRPr="001555C8" w:rsidRDefault="00896579" w:rsidP="00841E4E">
            <w:pPr>
              <w:pStyle w:val="Listenabsatz"/>
              <w:tabs>
                <w:tab w:val="left" w:pos="199"/>
              </w:tabs>
              <w:autoSpaceDE/>
              <w:spacing w:after="120" w:line="240" w:lineRule="atLeast"/>
              <w:ind w:left="0"/>
              <w:rPr>
                <w:sz w:val="18"/>
                <w:szCs w:val="18"/>
              </w:rPr>
            </w:pPr>
            <w:fldSimple w:instr=" SEQ Abs1 \* ARABIC \r 1 \* MERGEFORMAT ">
              <w:r w:rsidR="006674A1" w:rsidRPr="006674A1">
                <w:rPr>
                  <w:noProof/>
                  <w:sz w:val="18"/>
                  <w:szCs w:val="18"/>
                  <w:vertAlign w:val="superscript"/>
                </w:rPr>
                <w:t>1</w:t>
              </w:r>
            </w:fldSimple>
            <w:r w:rsidR="000A4E83" w:rsidRPr="001555C8">
              <w:rPr>
                <w:sz w:val="18"/>
                <w:szCs w:val="18"/>
              </w:rPr>
              <w:tab/>
            </w:r>
            <w:r w:rsidR="00401242" w:rsidRPr="001555C8">
              <w:rPr>
                <w:kern w:val="0"/>
                <w:sz w:val="20"/>
                <w:szCs w:val="20"/>
                <w:lang w:eastAsia="de-DE"/>
              </w:rPr>
              <w:t>Für die Besitzstandsregel für die aktiven Versicherten wird maximal ein Betrag von CHF 1</w:t>
            </w:r>
            <w:r w:rsidR="00841E4E" w:rsidRPr="001555C8">
              <w:rPr>
                <w:kern w:val="0"/>
                <w:sz w:val="20"/>
                <w:szCs w:val="20"/>
                <w:lang w:eastAsia="de-DE"/>
              </w:rPr>
              <w:t>0</w:t>
            </w:r>
            <w:r w:rsidR="00401242" w:rsidRPr="001555C8">
              <w:rPr>
                <w:kern w:val="0"/>
                <w:sz w:val="20"/>
                <w:szCs w:val="20"/>
                <w:lang w:eastAsia="de-DE"/>
              </w:rPr>
              <w:t xml:space="preserve"> Mio eingesetzt. Die Pensionskommission achtet bei der Festlegung auf den Gleichbehandlungsgrun</w:t>
            </w:r>
            <w:r w:rsidR="00401242" w:rsidRPr="001555C8">
              <w:rPr>
                <w:kern w:val="0"/>
                <w:sz w:val="20"/>
                <w:szCs w:val="20"/>
                <w:lang w:eastAsia="de-DE"/>
              </w:rPr>
              <w:t>d</w:t>
            </w:r>
            <w:r w:rsidR="00401242" w:rsidRPr="001555C8">
              <w:rPr>
                <w:kern w:val="0"/>
                <w:sz w:val="20"/>
                <w:szCs w:val="20"/>
                <w:lang w:eastAsia="de-DE"/>
              </w:rPr>
              <w:t>satz und auf den Grundsatz von Treu und Glauben. Bei Austritt einer aktiven versicherten Person ist der gewährte Besitzstand vollumfänglich in Abzug zu bringen und zur Stärkung der Kasse zu verwenden.</w:t>
            </w:r>
          </w:p>
        </w:tc>
      </w:tr>
      <w:tr w:rsidR="000A4E83" w:rsidRPr="001555C8" w:rsidTr="003809B6">
        <w:trPr>
          <w:cantSplit/>
          <w:trHeight w:val="400"/>
        </w:trPr>
        <w:tc>
          <w:tcPr>
            <w:tcW w:w="9072" w:type="dxa"/>
          </w:tcPr>
          <w:p w:rsidR="000A4E83" w:rsidRPr="001555C8" w:rsidRDefault="00896579" w:rsidP="00EB07D6">
            <w:pPr>
              <w:pStyle w:val="Listenabsatz"/>
              <w:tabs>
                <w:tab w:val="left" w:pos="199"/>
              </w:tabs>
              <w:autoSpaceDE/>
              <w:spacing w:after="120" w:line="240" w:lineRule="atLeast"/>
              <w:ind w:left="0"/>
              <w:rPr>
                <w:sz w:val="18"/>
                <w:szCs w:val="18"/>
              </w:rPr>
            </w:pPr>
            <w:fldSimple w:instr=" SEQ Abs1 \* ARABIC \* MERGEFORMAT ">
              <w:r w:rsidR="006674A1" w:rsidRPr="006674A1">
                <w:rPr>
                  <w:noProof/>
                  <w:sz w:val="18"/>
                  <w:szCs w:val="18"/>
                  <w:vertAlign w:val="superscript"/>
                </w:rPr>
                <w:t>2</w:t>
              </w:r>
            </w:fldSimple>
            <w:r w:rsidR="000A4E83" w:rsidRPr="001555C8">
              <w:rPr>
                <w:sz w:val="18"/>
                <w:szCs w:val="18"/>
              </w:rPr>
              <w:tab/>
            </w:r>
            <w:r w:rsidR="000A4E83" w:rsidRPr="001555C8">
              <w:rPr>
                <w:kern w:val="0"/>
                <w:sz w:val="20"/>
                <w:szCs w:val="20"/>
                <w:lang w:eastAsia="de-DE"/>
              </w:rPr>
              <w:t xml:space="preserve">Für Rentenleistungen, welche aufgrund </w:t>
            </w:r>
            <w:r w:rsidR="00EB07D6" w:rsidRPr="001555C8">
              <w:rPr>
                <w:kern w:val="0"/>
                <w:sz w:val="20"/>
                <w:szCs w:val="20"/>
                <w:lang w:eastAsia="de-DE"/>
              </w:rPr>
              <w:t xml:space="preserve">der </w:t>
            </w:r>
            <w:r w:rsidR="000A4E83" w:rsidRPr="001555C8">
              <w:rPr>
                <w:kern w:val="0"/>
                <w:sz w:val="20"/>
                <w:szCs w:val="20"/>
                <w:lang w:eastAsia="de-DE"/>
              </w:rPr>
              <w:t xml:space="preserve">bisherigen </w:t>
            </w:r>
            <w:r w:rsidR="00EB07D6" w:rsidRPr="001555C8">
              <w:rPr>
                <w:kern w:val="0"/>
                <w:sz w:val="20"/>
                <w:szCs w:val="20"/>
                <w:lang w:eastAsia="de-DE"/>
              </w:rPr>
              <w:t xml:space="preserve">Statuten </w:t>
            </w:r>
            <w:r w:rsidR="000A4E83" w:rsidRPr="001555C8">
              <w:rPr>
                <w:kern w:val="0"/>
                <w:sz w:val="20"/>
                <w:szCs w:val="20"/>
                <w:lang w:eastAsia="de-DE"/>
              </w:rPr>
              <w:t xml:space="preserve">zu laufen begonnen haben, besteht Besitzstand. Die periodische Überprüfung des Leistungsanspruchs infolge Invalidität bleibt vorbehalten. Ist vor Inkrafttreten </w:t>
            </w:r>
            <w:r w:rsidR="00EB07D6" w:rsidRPr="001555C8">
              <w:rPr>
                <w:kern w:val="0"/>
                <w:sz w:val="20"/>
                <w:szCs w:val="20"/>
                <w:lang w:eastAsia="de-DE"/>
              </w:rPr>
              <w:t>dieser Statuten</w:t>
            </w:r>
            <w:r w:rsidR="000A4E83" w:rsidRPr="001555C8">
              <w:rPr>
                <w:kern w:val="0"/>
                <w:sz w:val="20"/>
                <w:szCs w:val="20"/>
                <w:lang w:eastAsia="de-DE"/>
              </w:rPr>
              <w:t xml:space="preserve"> eine Arbeitsunfähigkeit eingetreten, deren Ursache zur Invalidität oder zum Tod führt, so </w:t>
            </w:r>
            <w:r w:rsidR="00EB07D6" w:rsidRPr="001555C8">
              <w:rPr>
                <w:kern w:val="0"/>
                <w:sz w:val="20"/>
                <w:szCs w:val="20"/>
                <w:lang w:eastAsia="de-DE"/>
              </w:rPr>
              <w:t>gelten die bisherigen Statuten</w:t>
            </w:r>
            <w:r w:rsidR="000A4E83" w:rsidRPr="001555C8">
              <w:rPr>
                <w:kern w:val="0"/>
                <w:sz w:val="20"/>
                <w:szCs w:val="20"/>
                <w:lang w:eastAsia="de-DE"/>
              </w:rPr>
              <w:t>.</w:t>
            </w:r>
          </w:p>
        </w:tc>
      </w:tr>
      <w:tr w:rsidR="000A4E83" w:rsidRPr="001555C8" w:rsidTr="003809B6">
        <w:trPr>
          <w:cantSplit/>
          <w:trHeight w:val="400"/>
        </w:trPr>
        <w:tc>
          <w:tcPr>
            <w:tcW w:w="9072" w:type="dxa"/>
          </w:tcPr>
          <w:p w:rsidR="000A4E83" w:rsidRPr="001555C8" w:rsidRDefault="00896579" w:rsidP="00EB07D6">
            <w:pPr>
              <w:pStyle w:val="Listenabsatz"/>
              <w:tabs>
                <w:tab w:val="left" w:pos="199"/>
              </w:tabs>
              <w:autoSpaceDE/>
              <w:spacing w:after="120" w:line="240" w:lineRule="atLeast"/>
              <w:ind w:left="0"/>
              <w:rPr>
                <w:sz w:val="18"/>
                <w:szCs w:val="18"/>
              </w:rPr>
            </w:pPr>
            <w:fldSimple w:instr=" SEQ Abs1 \* ARABIC \* MERGEFORMAT ">
              <w:r w:rsidR="006674A1" w:rsidRPr="006674A1">
                <w:rPr>
                  <w:noProof/>
                  <w:sz w:val="18"/>
                  <w:szCs w:val="18"/>
                  <w:vertAlign w:val="superscript"/>
                </w:rPr>
                <w:t>3</w:t>
              </w:r>
            </w:fldSimple>
            <w:r w:rsidR="000A4E83" w:rsidRPr="001555C8">
              <w:rPr>
                <w:sz w:val="18"/>
                <w:szCs w:val="18"/>
              </w:rPr>
              <w:tab/>
            </w:r>
            <w:r w:rsidR="000A4E83" w:rsidRPr="001555C8">
              <w:rPr>
                <w:kern w:val="0"/>
                <w:sz w:val="20"/>
                <w:szCs w:val="20"/>
                <w:lang w:eastAsia="de-DE"/>
              </w:rPr>
              <w:t xml:space="preserve">Anwartschaftliche Leistungsansprüche in Zusammenhang mit laufenden Rentenleistungen werden nach demjenigen Reglement beurteilt, das aufgrund </w:t>
            </w:r>
            <w:r w:rsidR="00EB07D6" w:rsidRPr="001555C8">
              <w:rPr>
                <w:kern w:val="0"/>
                <w:sz w:val="20"/>
                <w:szCs w:val="20"/>
                <w:lang w:eastAsia="de-DE"/>
              </w:rPr>
              <w:t>dieser Statuten</w:t>
            </w:r>
            <w:r w:rsidR="000A4E83" w:rsidRPr="001555C8">
              <w:rPr>
                <w:kern w:val="0"/>
                <w:sz w:val="20"/>
                <w:szCs w:val="20"/>
                <w:lang w:eastAsia="de-DE"/>
              </w:rPr>
              <w:t xml:space="preserve"> erlassen wird.</w:t>
            </w:r>
          </w:p>
        </w:tc>
      </w:tr>
    </w:tbl>
    <w:p w:rsidR="00136217" w:rsidRPr="001555C8" w:rsidRDefault="00136217" w:rsidP="009F38F0">
      <w:pPr>
        <w:pStyle w:val="Textkrper"/>
      </w:pPr>
    </w:p>
    <w:p w:rsidR="00401242" w:rsidRPr="001555C8" w:rsidRDefault="00401242" w:rsidP="00401242">
      <w:pPr>
        <w:pStyle w:val="Textkrper"/>
      </w:pPr>
      <w:r w:rsidRPr="001555C8">
        <w:t>In Absatz 1 wird der Maximalbetrag für den Besitzstand festgehalten. Die übrigen Absätze regeln den Übergang.</w:t>
      </w:r>
    </w:p>
    <w:p w:rsidR="008836E1" w:rsidRPr="001555C8" w:rsidRDefault="001157CC" w:rsidP="00786C73">
      <w:pPr>
        <w:pStyle w:val="AenderungbisherigenRechtsGesetzestitel"/>
        <w:numPr>
          <w:ilvl w:val="0"/>
          <w:numId w:val="25"/>
        </w:numPr>
        <w:ind w:left="709" w:hanging="709"/>
        <w:rPr>
          <w:sz w:val="24"/>
        </w:rPr>
      </w:pPr>
      <w:bookmarkStart w:id="143" w:name="_Toc334545159"/>
      <w:bookmarkStart w:id="144" w:name="_Toc334545160"/>
      <w:r w:rsidRPr="001555C8">
        <w:rPr>
          <w:sz w:val="24"/>
        </w:rPr>
        <w:br w:type="page"/>
      </w:r>
      <w:r w:rsidR="008836E1" w:rsidRPr="001555C8">
        <w:rPr>
          <w:sz w:val="24"/>
        </w:rPr>
        <w:t>Änderung und Aufhebung bisherigen Rechts</w:t>
      </w:r>
    </w:p>
    <w:p w:rsidR="00D03F56" w:rsidRPr="001555C8" w:rsidRDefault="00D03F56" w:rsidP="00D03F56">
      <w:pPr>
        <w:pStyle w:val="Textkrper"/>
      </w:pPr>
      <w:r w:rsidRPr="001555C8">
        <w:t>Die nachfolgenden Bestimmungen sind relevant für die Finanzierung:</w:t>
      </w:r>
    </w:p>
    <w:p w:rsidR="00046D67" w:rsidRPr="001555C8" w:rsidRDefault="00046D67" w:rsidP="00D03F56">
      <w:pPr>
        <w:pStyle w:val="Textkrper"/>
      </w:pPr>
    </w:p>
    <w:p w:rsidR="009E540E" w:rsidRPr="001555C8" w:rsidRDefault="009E540E" w:rsidP="00D03F56">
      <w:pPr>
        <w:pStyle w:val="Textkrper"/>
      </w:pPr>
    </w:p>
    <w:p w:rsidR="00822A0C" w:rsidRPr="001555C8" w:rsidRDefault="00895CEF" w:rsidP="00C3664B">
      <w:pPr>
        <w:pStyle w:val="berschrift2"/>
        <w:numPr>
          <w:ilvl w:val="0"/>
          <w:numId w:val="0"/>
        </w:numPr>
      </w:pPr>
      <w:bookmarkStart w:id="145" w:name="_Toc358786239"/>
      <w:r w:rsidRPr="001555C8">
        <w:t>Art. </w:t>
      </w:r>
      <w:r w:rsidR="00401242" w:rsidRPr="001555C8">
        <w:t>AA</w:t>
      </w:r>
      <w:r w:rsidR="00822A0C" w:rsidRPr="001555C8">
        <w:tab/>
      </w:r>
      <w:r w:rsidR="009E540E" w:rsidRPr="001555C8">
        <w:t>Beendigung des Arbeitsverhältnisses infolge Alter und vorzeitiger Ruhestand</w:t>
      </w:r>
      <w:r w:rsidR="00822A0C" w:rsidRPr="001555C8">
        <w:t xml:space="preserve"> </w:t>
      </w:r>
      <w:r w:rsidR="00F938CD" w:rsidRPr="001555C8">
        <w:t>(Personalreglement)</w:t>
      </w:r>
      <w:bookmarkEnd w:id="145"/>
    </w:p>
    <w:tbl>
      <w:tblPr>
        <w:tblW w:w="9072" w:type="dxa"/>
        <w:tblInd w:w="85" w:type="dxa"/>
        <w:tblLayout w:type="fixed"/>
        <w:tblCellMar>
          <w:left w:w="85" w:type="dxa"/>
          <w:right w:w="85" w:type="dxa"/>
        </w:tblCellMar>
        <w:tblLook w:val="04A0"/>
      </w:tblPr>
      <w:tblGrid>
        <w:gridCol w:w="9072"/>
      </w:tblGrid>
      <w:tr w:rsidR="00822A0C" w:rsidRPr="001555C8" w:rsidTr="003809B6">
        <w:trPr>
          <w:cantSplit/>
          <w:trHeight w:val="400"/>
        </w:trPr>
        <w:tc>
          <w:tcPr>
            <w:tcW w:w="9072" w:type="dxa"/>
          </w:tcPr>
          <w:p w:rsidR="00822A0C" w:rsidRPr="001555C8" w:rsidRDefault="00896579" w:rsidP="009E540E">
            <w:pPr>
              <w:pStyle w:val="Artikel"/>
              <w:tabs>
                <w:tab w:val="left" w:pos="199"/>
              </w:tabs>
              <w:rPr>
                <w:sz w:val="18"/>
                <w:szCs w:val="18"/>
              </w:rPr>
            </w:pPr>
            <w:fldSimple w:instr=" SEQ Abs1 \* ARABIC \r 1 \* MERGEFORMAT ">
              <w:r w:rsidR="006674A1" w:rsidRPr="006674A1">
                <w:rPr>
                  <w:noProof/>
                  <w:sz w:val="18"/>
                  <w:szCs w:val="18"/>
                  <w:vertAlign w:val="superscript"/>
                </w:rPr>
                <w:t>1</w:t>
              </w:r>
            </w:fldSimple>
            <w:r w:rsidR="00822A0C" w:rsidRPr="001555C8">
              <w:rPr>
                <w:sz w:val="18"/>
                <w:szCs w:val="18"/>
              </w:rPr>
              <w:tab/>
            </w:r>
            <w:r w:rsidR="009E540E" w:rsidRPr="001555C8">
              <w:rPr>
                <w:sz w:val="20"/>
              </w:rPr>
              <w:t>Falls keine anders lautende Abmachung zwischen Arbeitgeber und Arbeitnehmer bzw. Arbeitnehmerin getroffen wurde, endet das Arbeitsverhältnis grundsätzlich am letzten Tag des Monats, in dem die Mitarbeiterin oder der Mitarbeiter das 65. Altersjahr vollendet hat</w:t>
            </w:r>
            <w:r w:rsidR="00D303C7" w:rsidRPr="001555C8">
              <w:rPr>
                <w:sz w:val="20"/>
              </w:rPr>
              <w:t>.</w:t>
            </w:r>
          </w:p>
        </w:tc>
      </w:tr>
      <w:tr w:rsidR="00F938CD" w:rsidRPr="001555C8" w:rsidTr="003809B6">
        <w:trPr>
          <w:cantSplit/>
          <w:trHeight w:val="400"/>
        </w:trPr>
        <w:tc>
          <w:tcPr>
            <w:tcW w:w="9072" w:type="dxa"/>
          </w:tcPr>
          <w:p w:rsidR="00F938CD" w:rsidRPr="001555C8" w:rsidRDefault="00896579" w:rsidP="009E540E">
            <w:pPr>
              <w:pStyle w:val="Artikel"/>
              <w:tabs>
                <w:tab w:val="left" w:pos="199"/>
              </w:tabs>
              <w:rPr>
                <w:sz w:val="18"/>
                <w:szCs w:val="18"/>
                <w:vertAlign w:val="superscript"/>
              </w:rPr>
            </w:pPr>
            <w:fldSimple w:instr=" SEQ Abs1 \* ARABIC \* MERGEFORMAT ">
              <w:r w:rsidR="006674A1" w:rsidRPr="006674A1">
                <w:rPr>
                  <w:noProof/>
                  <w:sz w:val="18"/>
                  <w:szCs w:val="18"/>
                  <w:vertAlign w:val="superscript"/>
                </w:rPr>
                <w:t>2</w:t>
              </w:r>
            </w:fldSimple>
            <w:r w:rsidR="00F938CD" w:rsidRPr="001555C8">
              <w:rPr>
                <w:sz w:val="18"/>
                <w:szCs w:val="18"/>
              </w:rPr>
              <w:tab/>
            </w:r>
            <w:r w:rsidR="00F938CD" w:rsidRPr="001555C8">
              <w:rPr>
                <w:sz w:val="20"/>
              </w:rPr>
              <w:t>In personal-, arbeitsmarkt- und finanzpolitisch ausserordentlichen Situationen kann der Stadtrat Mitarbeiterinnen und Mitarbeiter, welche das 58. Altersjahr vollendet haben, auf Gesuch hin vorzeitig pensionieren. Die vorzeitige Pensionierung erfolgt zu den Bedingungen, wie wenn die versicherte Person das 65. Altersjahr erreicht hätte. Der Arbeitgeber vergütet der Pensionskasse die Mehrbelastung im Deckungskapital.</w:t>
            </w:r>
          </w:p>
        </w:tc>
      </w:tr>
      <w:tr w:rsidR="00F938CD" w:rsidRPr="001555C8" w:rsidTr="00466C1D">
        <w:trPr>
          <w:cantSplit/>
          <w:trHeight w:val="400"/>
        </w:trPr>
        <w:tc>
          <w:tcPr>
            <w:tcW w:w="9072" w:type="dxa"/>
            <w:vAlign w:val="center"/>
          </w:tcPr>
          <w:p w:rsidR="00F938CD" w:rsidRPr="001555C8" w:rsidRDefault="00896579" w:rsidP="00466C1D">
            <w:pPr>
              <w:pStyle w:val="Artikel"/>
              <w:rPr>
                <w:vertAlign w:val="superscript"/>
              </w:rPr>
            </w:pPr>
            <w:fldSimple w:instr=" SEQ Abs1 \* ARABIC \* MERGEFORMAT ">
              <w:r w:rsidR="006674A1" w:rsidRPr="006674A1">
                <w:rPr>
                  <w:noProof/>
                  <w:sz w:val="18"/>
                  <w:vertAlign w:val="superscript"/>
                </w:rPr>
                <w:t>3</w:t>
              </w:r>
            </w:fldSimple>
            <w:r w:rsidR="00F938CD" w:rsidRPr="001555C8">
              <w:rPr>
                <w:sz w:val="18"/>
              </w:rPr>
              <w:tab/>
            </w:r>
            <w:r w:rsidR="00F938CD" w:rsidRPr="001555C8">
              <w:rPr>
                <w:sz w:val="20"/>
                <w:lang w:eastAsia="de-CH"/>
              </w:rPr>
              <w:t>Eine vorzeitige Pensionierung ab Alter 58 oder eine aufgeschobene Pensionierung bis Alter 70 ist möglich. Die Pensionierung kann auch in Teilschritten erfolgen.</w:t>
            </w:r>
          </w:p>
        </w:tc>
      </w:tr>
      <w:tr w:rsidR="00F938CD" w:rsidRPr="001555C8" w:rsidTr="00466C1D">
        <w:trPr>
          <w:cantSplit/>
          <w:trHeight w:val="400"/>
        </w:trPr>
        <w:tc>
          <w:tcPr>
            <w:tcW w:w="9072" w:type="dxa"/>
            <w:vAlign w:val="center"/>
          </w:tcPr>
          <w:p w:rsidR="00F938CD" w:rsidRPr="001555C8" w:rsidRDefault="00896579" w:rsidP="00466C1D">
            <w:pPr>
              <w:pStyle w:val="Artikel"/>
              <w:rPr>
                <w:sz w:val="18"/>
                <w:vertAlign w:val="superscript"/>
              </w:rPr>
            </w:pPr>
            <w:fldSimple w:instr=" SEQ Abs1 \* ARABIC \* MERGEFORMAT ">
              <w:r w:rsidR="006674A1" w:rsidRPr="006674A1">
                <w:rPr>
                  <w:noProof/>
                  <w:sz w:val="18"/>
                  <w:szCs w:val="18"/>
                  <w:vertAlign w:val="superscript"/>
                </w:rPr>
                <w:t>4</w:t>
              </w:r>
            </w:fldSimple>
            <w:r w:rsidR="00F938CD" w:rsidRPr="001555C8">
              <w:rPr>
                <w:sz w:val="18"/>
                <w:szCs w:val="18"/>
              </w:rPr>
              <w:tab/>
            </w:r>
            <w:r w:rsidR="00F938CD" w:rsidRPr="001555C8">
              <w:rPr>
                <w:sz w:val="20"/>
              </w:rPr>
              <w:t>Erfolgt die vorzeitige Pensionierung im gegenseitigen Einvernehmen, so kann der Arbeitgeber zwecks Erhöhung der Rentenansprüche gegenüber der Pensionskasse eine Einmaleinlage zugunsten der versicherten Person leisten. Die Zuständigkeit liegt beim Stadtrat</w:t>
            </w:r>
          </w:p>
        </w:tc>
      </w:tr>
    </w:tbl>
    <w:p w:rsidR="00756397" w:rsidRPr="001555C8" w:rsidRDefault="00756397" w:rsidP="00822A0C">
      <w:pPr>
        <w:pStyle w:val="Textkrper"/>
      </w:pPr>
    </w:p>
    <w:p w:rsidR="00F938CD" w:rsidRPr="001555C8" w:rsidRDefault="00822A0C" w:rsidP="00F938CD">
      <w:pPr>
        <w:pStyle w:val="Textkrper"/>
      </w:pPr>
      <w:r w:rsidRPr="001555C8">
        <w:t>Das reglementarische Rücktrittsalter soll nun 65 betragen, um der Entwicklung der Demographie (Babyboomer und Zunahme der Lebenserwartung um über 8 Jahre in den letzten 60 Jahren bzw. um mehr als 2 Jahre in den letzten 10 Jahren) Rechnung zu tragen.</w:t>
      </w:r>
      <w:r w:rsidR="00401242" w:rsidRPr="001555C8">
        <w:t xml:space="preserve"> </w:t>
      </w:r>
      <w:r w:rsidR="00F938CD" w:rsidRPr="001555C8">
        <w:t>Das Rücktrittsalter wird flexibilisiert, um den Anpassungen im Pensionierungsverhalten Rechnung zu tragen. Eine vorzeitige Pensionierung ist ab Alter 58 möglich und kann bis zum Alter 70 aufgeschoben werden. Eine Teilpensionierung ist ebenfalls möglich.</w:t>
      </w:r>
    </w:p>
    <w:p w:rsidR="00B346D3" w:rsidRPr="001555C8" w:rsidRDefault="00B346D3" w:rsidP="00B346D3">
      <w:pPr>
        <w:pStyle w:val="berschrift2"/>
        <w:numPr>
          <w:ilvl w:val="0"/>
          <w:numId w:val="0"/>
        </w:numPr>
        <w:tabs>
          <w:tab w:val="clear" w:pos="992"/>
          <w:tab w:val="left" w:pos="993"/>
        </w:tabs>
        <w:spacing w:before="480" w:after="120" w:line="240" w:lineRule="atLeast"/>
        <w:textAlignment w:val="auto"/>
      </w:pPr>
      <w:bookmarkStart w:id="146" w:name="_Toc358786240"/>
      <w:r w:rsidRPr="001555C8">
        <w:t>Art.BB</w:t>
      </w:r>
      <w:r w:rsidRPr="001555C8">
        <w:tab/>
        <w:t>Versicherter Jahreslohn (Vorsorgereglement)</w:t>
      </w:r>
      <w:bookmarkEnd w:id="146"/>
    </w:p>
    <w:tbl>
      <w:tblPr>
        <w:tblW w:w="9072" w:type="dxa"/>
        <w:tblInd w:w="85" w:type="dxa"/>
        <w:tblLayout w:type="fixed"/>
        <w:tblCellMar>
          <w:left w:w="85" w:type="dxa"/>
          <w:right w:w="85" w:type="dxa"/>
        </w:tblCellMar>
        <w:tblLook w:val="04A0"/>
      </w:tblPr>
      <w:tblGrid>
        <w:gridCol w:w="9072"/>
      </w:tblGrid>
      <w:tr w:rsidR="00B346D3" w:rsidRPr="001555C8" w:rsidTr="00466C1D">
        <w:trPr>
          <w:cantSplit/>
          <w:trHeight w:val="400"/>
        </w:trPr>
        <w:tc>
          <w:tcPr>
            <w:tcW w:w="9072" w:type="dxa"/>
            <w:vAlign w:val="center"/>
          </w:tcPr>
          <w:p w:rsidR="00B346D3" w:rsidRPr="001555C8" w:rsidRDefault="00896579" w:rsidP="00466C1D">
            <w:pPr>
              <w:pStyle w:val="Artikel"/>
            </w:pPr>
            <w:fldSimple w:instr=" SEQ Abs1 \r 1 \* MERGEFORMAT ">
              <w:r w:rsidR="006674A1" w:rsidRPr="006674A1">
                <w:rPr>
                  <w:noProof/>
                  <w:vertAlign w:val="superscript"/>
                </w:rPr>
                <w:t>1</w:t>
              </w:r>
            </w:fldSimple>
            <w:r w:rsidR="00B346D3" w:rsidRPr="001555C8">
              <w:tab/>
            </w:r>
            <w:r w:rsidR="00B346D3" w:rsidRPr="001555C8">
              <w:rPr>
                <w:sz w:val="20"/>
                <w:lang w:eastAsia="de-CH"/>
              </w:rPr>
              <w:t>Der versicherte Jahreslohn entspricht dem um einen Koordinationsabzug verminderten massgebenden Jahreslohn.</w:t>
            </w:r>
          </w:p>
        </w:tc>
      </w:tr>
      <w:tr w:rsidR="00B346D3" w:rsidRPr="001555C8" w:rsidTr="00466C1D">
        <w:trPr>
          <w:cantSplit/>
          <w:trHeight w:val="400"/>
        </w:trPr>
        <w:tc>
          <w:tcPr>
            <w:tcW w:w="9072" w:type="dxa"/>
            <w:vAlign w:val="center"/>
          </w:tcPr>
          <w:p w:rsidR="00B346D3" w:rsidRPr="001555C8" w:rsidRDefault="00896579" w:rsidP="00466C1D">
            <w:pPr>
              <w:pStyle w:val="Artikel"/>
              <w:rPr>
                <w:vertAlign w:val="superscript"/>
              </w:rPr>
            </w:pPr>
            <w:fldSimple w:instr=" SEQ Abs1 \* ARABIC \* MERGEFORMAT ">
              <w:r w:rsidR="006674A1" w:rsidRPr="006674A1">
                <w:rPr>
                  <w:noProof/>
                  <w:sz w:val="18"/>
                  <w:vertAlign w:val="superscript"/>
                </w:rPr>
                <w:t>2</w:t>
              </w:r>
            </w:fldSimple>
            <w:r w:rsidR="00B346D3" w:rsidRPr="001555C8">
              <w:rPr>
                <w:sz w:val="18"/>
              </w:rPr>
              <w:tab/>
            </w:r>
            <w:r w:rsidR="00B346D3" w:rsidRPr="001555C8">
              <w:rPr>
                <w:sz w:val="20"/>
                <w:lang w:eastAsia="de-CH"/>
              </w:rPr>
              <w:t>Als massgebender Jahreslohn gilt der gesetzlich festgelegte oder der vertraglich vereinbarte Jahreslohn. Im Vorsorgereglement können bestimmte Lohnbestandteile davon ausgenommen werden</w:t>
            </w:r>
            <w:r w:rsidR="00B346D3" w:rsidRPr="001555C8">
              <w:rPr>
                <w:sz w:val="20"/>
              </w:rPr>
              <w:t>.</w:t>
            </w:r>
          </w:p>
        </w:tc>
      </w:tr>
      <w:tr w:rsidR="00B346D3" w:rsidRPr="001555C8" w:rsidTr="00466C1D">
        <w:trPr>
          <w:cantSplit/>
          <w:trHeight w:val="400"/>
        </w:trPr>
        <w:tc>
          <w:tcPr>
            <w:tcW w:w="9072" w:type="dxa"/>
            <w:vAlign w:val="center"/>
          </w:tcPr>
          <w:p w:rsidR="00B346D3" w:rsidRPr="001555C8" w:rsidRDefault="00896579" w:rsidP="00466C1D">
            <w:pPr>
              <w:pStyle w:val="Artikel"/>
              <w:rPr>
                <w:vertAlign w:val="superscript"/>
              </w:rPr>
            </w:pPr>
            <w:fldSimple w:instr=" SEQ Abs1 \* ARABIC \* MERGEFORMAT ">
              <w:r w:rsidR="006674A1" w:rsidRPr="006674A1">
                <w:rPr>
                  <w:noProof/>
                  <w:sz w:val="18"/>
                  <w:vertAlign w:val="superscript"/>
                </w:rPr>
                <w:t>3</w:t>
              </w:r>
            </w:fldSimple>
            <w:r w:rsidR="00B346D3" w:rsidRPr="001555C8">
              <w:rPr>
                <w:sz w:val="18"/>
              </w:rPr>
              <w:tab/>
            </w:r>
            <w:r w:rsidR="00B346D3" w:rsidRPr="001555C8">
              <w:rPr>
                <w:sz w:val="20"/>
                <w:lang w:eastAsia="de-CH"/>
              </w:rPr>
              <w:t>Der Koordinationsabzug entspricht dem Betrag der jährlichen maximalen AHV-Altersrente</w:t>
            </w:r>
            <w:r w:rsidR="00B346D3" w:rsidRPr="001555C8">
              <w:rPr>
                <w:sz w:val="20"/>
              </w:rPr>
              <w:t>.</w:t>
            </w:r>
          </w:p>
        </w:tc>
      </w:tr>
      <w:tr w:rsidR="00B346D3" w:rsidRPr="001555C8" w:rsidTr="00466C1D">
        <w:trPr>
          <w:cantSplit/>
          <w:trHeight w:val="400"/>
        </w:trPr>
        <w:tc>
          <w:tcPr>
            <w:tcW w:w="9072" w:type="dxa"/>
            <w:vAlign w:val="center"/>
          </w:tcPr>
          <w:p w:rsidR="00B346D3" w:rsidRPr="001555C8" w:rsidRDefault="00896579" w:rsidP="00466C1D">
            <w:pPr>
              <w:pStyle w:val="Artikel"/>
              <w:rPr>
                <w:sz w:val="18"/>
                <w:vertAlign w:val="superscript"/>
              </w:rPr>
            </w:pPr>
            <w:fldSimple w:instr=" SEQ Abs1 \* ARABIC \* MERGEFORMAT ">
              <w:r w:rsidR="006674A1" w:rsidRPr="006674A1">
                <w:rPr>
                  <w:noProof/>
                  <w:sz w:val="18"/>
                  <w:vertAlign w:val="superscript"/>
                </w:rPr>
                <w:t>4</w:t>
              </w:r>
            </w:fldSimple>
            <w:r w:rsidR="00B346D3" w:rsidRPr="001555C8">
              <w:rPr>
                <w:sz w:val="18"/>
              </w:rPr>
              <w:tab/>
            </w:r>
            <w:r w:rsidR="00B346D3" w:rsidRPr="001555C8">
              <w:rPr>
                <w:sz w:val="20"/>
              </w:rPr>
              <w:t>Bei Teilzeitbeschäftigten wird der Beschäftigungsgrad für die Ermittlung des versicherten Lohnes berücksichtigt.</w:t>
            </w:r>
          </w:p>
        </w:tc>
      </w:tr>
    </w:tbl>
    <w:p w:rsidR="00B346D3" w:rsidRPr="001555C8" w:rsidRDefault="00B346D3" w:rsidP="00B346D3">
      <w:pPr>
        <w:pStyle w:val="Textkrper"/>
      </w:pPr>
    </w:p>
    <w:p w:rsidR="00B346D3" w:rsidRPr="001555C8" w:rsidRDefault="00B346D3" w:rsidP="00B346D3">
      <w:pPr>
        <w:pStyle w:val="Textkrper"/>
      </w:pPr>
      <w:r w:rsidRPr="001555C8">
        <w:t>Absatz 1 ist methodisch notwendig, um nachstehend den massgebenden Lohn sowie den Koordinationsabzug zu bestimmen. Mit Absatz 2 wird geregelt, dass gelegentlich anfallende Lohnbestandteile wie Dienstaltersgeschenke nicht versichert sind, sondern nur das feste Einkommen. Die Höhe des Koordinationsabzugs entspricht der heutigen Lösung. Auch die Regelung betreffend Teilzeitbeschäftigung entspricht der heutigen Lösung. Da je nach Definition des Koordinationsabzugs die Kosten unterschiedlich ausfallen, ist die Festlegung des versicherten Lohns für die Finanzierung massgebend und deshalb für das Vorsorgereglement bereits verbindlich festgelegt.</w:t>
      </w:r>
      <w:bookmarkEnd w:id="143"/>
      <w:bookmarkEnd w:id="144"/>
    </w:p>
    <w:p w:rsidR="00D32508" w:rsidRPr="001555C8" w:rsidRDefault="00D32508" w:rsidP="00D32508">
      <w:pPr>
        <w:pStyle w:val="berschrift1"/>
        <w:numPr>
          <w:ilvl w:val="0"/>
          <w:numId w:val="2"/>
        </w:numPr>
        <w:tabs>
          <w:tab w:val="clear" w:pos="567"/>
          <w:tab w:val="left" w:pos="992"/>
        </w:tabs>
      </w:pPr>
      <w:bookmarkStart w:id="147" w:name="_Toc347225071"/>
      <w:bookmarkStart w:id="148" w:name="_Toc358786241"/>
      <w:r w:rsidRPr="001555C8">
        <w:t>Beschlussesanträge</w:t>
      </w:r>
      <w:bookmarkEnd w:id="147"/>
      <w:bookmarkEnd w:id="148"/>
    </w:p>
    <w:p w:rsidR="00D32508" w:rsidRPr="001555C8" w:rsidRDefault="00D32508" w:rsidP="00D32508">
      <w:pPr>
        <w:pStyle w:val="Textkrper"/>
        <w:rPr>
          <w:b/>
          <w:sz w:val="26"/>
          <w:szCs w:val="26"/>
        </w:rPr>
      </w:pPr>
    </w:p>
    <w:p w:rsidR="00D32508" w:rsidRPr="001555C8" w:rsidRDefault="00D32508" w:rsidP="00D32508">
      <w:pPr>
        <w:pStyle w:val="Textkrper"/>
        <w:numPr>
          <w:ilvl w:val="0"/>
          <w:numId w:val="34"/>
        </w:numPr>
        <w:rPr>
          <w:szCs w:val="22"/>
        </w:rPr>
      </w:pPr>
      <w:r w:rsidRPr="001555C8">
        <w:rPr>
          <w:szCs w:val="22"/>
        </w:rPr>
        <w:t>Der Revision der Statuten der Pensionskasse der Stadt Olten vom 23.05.1991 (SRO 135) per 1. Januar 2014 wird zugestimmt.</w:t>
      </w:r>
    </w:p>
    <w:p w:rsidR="00D32508" w:rsidRPr="001555C8" w:rsidRDefault="00D32508" w:rsidP="00D32508">
      <w:pPr>
        <w:pStyle w:val="Textkrper"/>
        <w:ind w:left="720"/>
        <w:rPr>
          <w:szCs w:val="22"/>
        </w:rPr>
      </w:pPr>
    </w:p>
    <w:p w:rsidR="00D32508" w:rsidRDefault="00D32508" w:rsidP="00D32508">
      <w:pPr>
        <w:pStyle w:val="Textkrper"/>
        <w:numPr>
          <w:ilvl w:val="0"/>
          <w:numId w:val="34"/>
        </w:numPr>
        <w:rPr>
          <w:szCs w:val="22"/>
        </w:rPr>
      </w:pPr>
      <w:r w:rsidRPr="001555C8">
        <w:rPr>
          <w:szCs w:val="22"/>
        </w:rPr>
        <w:t>Der Stadtrat und die Pensionskommission werden mit dem Vollzug beauftragt.</w:t>
      </w:r>
    </w:p>
    <w:p w:rsidR="00C454E3" w:rsidRDefault="00C454E3" w:rsidP="00C454E3">
      <w:pPr>
        <w:pStyle w:val="Listenabsatz"/>
        <w:rPr>
          <w:szCs w:val="22"/>
        </w:rPr>
      </w:pPr>
    </w:p>
    <w:p w:rsidR="00C454E3" w:rsidRPr="001555C8" w:rsidRDefault="00C454E3" w:rsidP="00D32508">
      <w:pPr>
        <w:pStyle w:val="Textkrper"/>
        <w:numPr>
          <w:ilvl w:val="0"/>
          <w:numId w:val="34"/>
        </w:numPr>
        <w:rPr>
          <w:szCs w:val="22"/>
        </w:rPr>
      </w:pPr>
      <w:r>
        <w:rPr>
          <w:szCs w:val="22"/>
        </w:rPr>
        <w:t>Ziff. 1 dieses Beschlusses untersteht dem fakultativen Referendum.</w:t>
      </w:r>
    </w:p>
    <w:p w:rsidR="00D32508" w:rsidRPr="001555C8" w:rsidRDefault="00D32508" w:rsidP="00D32508">
      <w:pPr>
        <w:pStyle w:val="Textkrper"/>
        <w:rPr>
          <w:szCs w:val="22"/>
        </w:rPr>
      </w:pPr>
    </w:p>
    <w:p w:rsidR="00D32508" w:rsidRPr="001555C8" w:rsidRDefault="00D32508" w:rsidP="00D32508">
      <w:pPr>
        <w:pStyle w:val="Textkrper"/>
        <w:rPr>
          <w:szCs w:val="22"/>
        </w:rPr>
      </w:pPr>
    </w:p>
    <w:p w:rsidR="00D32508" w:rsidRPr="001555C8" w:rsidRDefault="00D32508" w:rsidP="00D32508">
      <w:pPr>
        <w:pStyle w:val="Textkrper"/>
        <w:rPr>
          <w:szCs w:val="22"/>
        </w:rPr>
      </w:pPr>
      <w:r w:rsidRPr="001555C8">
        <w:rPr>
          <w:szCs w:val="22"/>
        </w:rPr>
        <w:t xml:space="preserve">Olten, </w:t>
      </w:r>
      <w:r w:rsidR="00C454E3">
        <w:rPr>
          <w:szCs w:val="22"/>
        </w:rPr>
        <w:t>12. Juni 2013</w:t>
      </w:r>
    </w:p>
    <w:p w:rsidR="00D32508" w:rsidRPr="001555C8" w:rsidRDefault="00D32508" w:rsidP="00D32508">
      <w:pPr>
        <w:pStyle w:val="Textkrper"/>
        <w:rPr>
          <w:szCs w:val="22"/>
        </w:rPr>
      </w:pPr>
    </w:p>
    <w:p w:rsidR="00D32508" w:rsidRPr="001555C8" w:rsidRDefault="00D32508" w:rsidP="00D32508">
      <w:pPr>
        <w:pStyle w:val="Textkrper"/>
        <w:rPr>
          <w:szCs w:val="22"/>
        </w:rPr>
      </w:pPr>
    </w:p>
    <w:p w:rsidR="00D32508" w:rsidRPr="001555C8" w:rsidRDefault="00D32508" w:rsidP="00D32508">
      <w:pPr>
        <w:pStyle w:val="Textkrper"/>
        <w:rPr>
          <w:szCs w:val="22"/>
        </w:rPr>
      </w:pPr>
    </w:p>
    <w:p w:rsidR="00D32508" w:rsidRPr="001555C8" w:rsidRDefault="00D32508" w:rsidP="00D32508">
      <w:pPr>
        <w:jc w:val="both"/>
        <w:rPr>
          <w:rFonts w:cs="Arial"/>
          <w:szCs w:val="22"/>
        </w:rPr>
      </w:pPr>
    </w:p>
    <w:p w:rsidR="00D32508" w:rsidRPr="001555C8" w:rsidRDefault="00D32508" w:rsidP="00D32508">
      <w:pPr>
        <w:jc w:val="both"/>
        <w:rPr>
          <w:rFonts w:cs="Arial"/>
          <w:szCs w:val="22"/>
        </w:rPr>
      </w:pPr>
    </w:p>
    <w:p w:rsidR="00D32508" w:rsidRPr="001555C8" w:rsidRDefault="00D32508" w:rsidP="00D32508">
      <w:pPr>
        <w:jc w:val="both"/>
        <w:rPr>
          <w:rFonts w:cs="Arial"/>
          <w:szCs w:val="22"/>
        </w:rPr>
      </w:pPr>
    </w:p>
    <w:p w:rsidR="00D32508" w:rsidRPr="001555C8" w:rsidRDefault="00D32508" w:rsidP="003B69F8">
      <w:pPr>
        <w:tabs>
          <w:tab w:val="left" w:pos="3686"/>
        </w:tabs>
        <w:jc w:val="both"/>
        <w:rPr>
          <w:rFonts w:cs="Arial"/>
          <w:b/>
          <w:szCs w:val="22"/>
        </w:rPr>
      </w:pPr>
      <w:r w:rsidRPr="001555C8">
        <w:rPr>
          <w:rFonts w:cs="Arial"/>
          <w:szCs w:val="22"/>
        </w:rPr>
        <w:tab/>
      </w:r>
      <w:r w:rsidRPr="001555C8">
        <w:rPr>
          <w:rFonts w:cs="Arial"/>
          <w:b/>
          <w:szCs w:val="22"/>
        </w:rPr>
        <w:t>NAMENS DES STADTRATES VON OLTEN</w:t>
      </w:r>
    </w:p>
    <w:p w:rsidR="00D32508" w:rsidRPr="001555C8" w:rsidRDefault="003B69F8" w:rsidP="003B69F8">
      <w:pPr>
        <w:tabs>
          <w:tab w:val="left" w:pos="3686"/>
          <w:tab w:val="right" w:pos="7938"/>
        </w:tabs>
        <w:jc w:val="both"/>
        <w:rPr>
          <w:rFonts w:cs="Arial"/>
          <w:szCs w:val="22"/>
        </w:rPr>
      </w:pPr>
      <w:r w:rsidRPr="001555C8">
        <w:rPr>
          <w:rFonts w:cs="Arial"/>
          <w:szCs w:val="22"/>
        </w:rPr>
        <w:tab/>
      </w:r>
      <w:r w:rsidR="00D32508" w:rsidRPr="001555C8">
        <w:rPr>
          <w:rFonts w:cs="Arial"/>
          <w:szCs w:val="22"/>
        </w:rPr>
        <w:t>Der Stadtpräsident:</w:t>
      </w:r>
      <w:r w:rsidRPr="001555C8">
        <w:rPr>
          <w:rFonts w:cs="Arial"/>
          <w:szCs w:val="22"/>
        </w:rPr>
        <w:tab/>
      </w:r>
      <w:r w:rsidR="00D32508" w:rsidRPr="001555C8">
        <w:rPr>
          <w:rFonts w:cs="Arial"/>
          <w:szCs w:val="22"/>
        </w:rPr>
        <w:t>Der Stadtschreiber:</w:t>
      </w:r>
    </w:p>
    <w:p w:rsidR="00D32508" w:rsidRPr="001555C8" w:rsidRDefault="00D32508" w:rsidP="00D32508">
      <w:pPr>
        <w:tabs>
          <w:tab w:val="left" w:pos="3402"/>
          <w:tab w:val="left" w:pos="6804"/>
        </w:tabs>
        <w:jc w:val="both"/>
        <w:rPr>
          <w:rFonts w:cs="Arial"/>
          <w:szCs w:val="22"/>
        </w:rPr>
      </w:pPr>
    </w:p>
    <w:p w:rsidR="00D32508" w:rsidRPr="001555C8" w:rsidRDefault="00D32508" w:rsidP="00D32508">
      <w:pPr>
        <w:tabs>
          <w:tab w:val="left" w:pos="3402"/>
          <w:tab w:val="left" w:pos="6804"/>
        </w:tabs>
        <w:jc w:val="both"/>
        <w:rPr>
          <w:rFonts w:cs="Arial"/>
          <w:szCs w:val="22"/>
        </w:rPr>
      </w:pPr>
    </w:p>
    <w:p w:rsidR="00D32508" w:rsidRPr="001555C8" w:rsidRDefault="003B69F8" w:rsidP="003B69F8">
      <w:pPr>
        <w:tabs>
          <w:tab w:val="left" w:pos="3686"/>
          <w:tab w:val="right" w:pos="7938"/>
        </w:tabs>
        <w:jc w:val="both"/>
        <w:rPr>
          <w:rFonts w:cs="Arial"/>
          <w:szCs w:val="22"/>
        </w:rPr>
      </w:pPr>
      <w:r w:rsidRPr="001555C8">
        <w:rPr>
          <w:rFonts w:cs="Arial"/>
          <w:szCs w:val="22"/>
        </w:rPr>
        <w:tab/>
      </w:r>
      <w:r w:rsidR="00D32508" w:rsidRPr="001555C8">
        <w:rPr>
          <w:rFonts w:cs="Arial"/>
          <w:szCs w:val="22"/>
        </w:rPr>
        <w:t>Ernst Zingg</w:t>
      </w:r>
      <w:r w:rsidRPr="001555C8">
        <w:rPr>
          <w:rFonts w:cs="Arial"/>
          <w:szCs w:val="22"/>
        </w:rPr>
        <w:tab/>
      </w:r>
      <w:r w:rsidR="00D32508" w:rsidRPr="001555C8">
        <w:rPr>
          <w:rFonts w:cs="Arial"/>
          <w:szCs w:val="22"/>
        </w:rPr>
        <w:t>Markus Dietler</w:t>
      </w:r>
    </w:p>
    <w:p w:rsidR="00D32508" w:rsidRPr="001555C8" w:rsidRDefault="00D32508" w:rsidP="00D32508">
      <w:pPr>
        <w:pStyle w:val="Textkrper"/>
        <w:rPr>
          <w:szCs w:val="22"/>
        </w:rPr>
      </w:pPr>
    </w:p>
    <w:p w:rsidR="00D32508" w:rsidRPr="001555C8" w:rsidRDefault="00D32508" w:rsidP="00D32508">
      <w:pPr>
        <w:pStyle w:val="Textkrper"/>
        <w:rPr>
          <w:szCs w:val="22"/>
        </w:rPr>
      </w:pPr>
    </w:p>
    <w:p w:rsidR="00D32508" w:rsidRPr="001555C8" w:rsidRDefault="00D32508" w:rsidP="00D32508">
      <w:pPr>
        <w:pStyle w:val="Textkrper"/>
        <w:rPr>
          <w:szCs w:val="22"/>
        </w:rPr>
      </w:pPr>
    </w:p>
    <w:p w:rsidR="00D32508" w:rsidRPr="009509DE" w:rsidRDefault="009509DE" w:rsidP="00D32508">
      <w:pPr>
        <w:pStyle w:val="Textkrper"/>
        <w:rPr>
          <w:szCs w:val="22"/>
          <w:u w:val="single"/>
        </w:rPr>
      </w:pPr>
      <w:r w:rsidRPr="009509DE">
        <w:rPr>
          <w:szCs w:val="22"/>
          <w:u w:val="single"/>
        </w:rPr>
        <w:t>Mitteilung an:</w:t>
      </w:r>
    </w:p>
    <w:p w:rsidR="009509DE" w:rsidRDefault="009509DE" w:rsidP="00D32508">
      <w:pPr>
        <w:pStyle w:val="Textkrper"/>
        <w:rPr>
          <w:szCs w:val="22"/>
        </w:rPr>
      </w:pPr>
      <w:r>
        <w:rPr>
          <w:szCs w:val="22"/>
        </w:rPr>
        <w:t>Gemeindeparlament</w:t>
      </w:r>
    </w:p>
    <w:p w:rsidR="009509DE" w:rsidRDefault="009509DE" w:rsidP="00D32508">
      <w:pPr>
        <w:pStyle w:val="Textkrper"/>
        <w:rPr>
          <w:szCs w:val="22"/>
        </w:rPr>
      </w:pPr>
      <w:r>
        <w:rPr>
          <w:szCs w:val="22"/>
        </w:rPr>
        <w:t>Pensionskommission</w:t>
      </w:r>
    </w:p>
    <w:p w:rsidR="009509DE" w:rsidRDefault="009509DE" w:rsidP="00D32508">
      <w:pPr>
        <w:pStyle w:val="Textkrper"/>
        <w:rPr>
          <w:szCs w:val="22"/>
        </w:rPr>
      </w:pPr>
      <w:r>
        <w:rPr>
          <w:szCs w:val="22"/>
        </w:rPr>
        <w:t>Parlamentsakten</w:t>
      </w:r>
    </w:p>
    <w:p w:rsidR="009509DE" w:rsidRDefault="009509DE" w:rsidP="00D32508">
      <w:pPr>
        <w:pStyle w:val="Textkrper"/>
        <w:rPr>
          <w:szCs w:val="22"/>
        </w:rPr>
      </w:pPr>
      <w:r>
        <w:rPr>
          <w:szCs w:val="22"/>
        </w:rPr>
        <w:t>Reglementsammlung</w:t>
      </w:r>
    </w:p>
    <w:p w:rsidR="009509DE" w:rsidRDefault="009509DE" w:rsidP="00D32508">
      <w:pPr>
        <w:pStyle w:val="Textkrper"/>
        <w:rPr>
          <w:szCs w:val="22"/>
        </w:rPr>
      </w:pPr>
      <w:r>
        <w:rPr>
          <w:szCs w:val="22"/>
        </w:rPr>
        <w:t>Rechtskonsulent</w:t>
      </w:r>
    </w:p>
    <w:p w:rsidR="009509DE" w:rsidRPr="001555C8" w:rsidRDefault="009509DE" w:rsidP="00D32508">
      <w:pPr>
        <w:pStyle w:val="Textkrper"/>
        <w:rPr>
          <w:szCs w:val="22"/>
        </w:rPr>
      </w:pPr>
      <w:r>
        <w:rPr>
          <w:szCs w:val="22"/>
        </w:rPr>
        <w:t>Finanzverwaltung</w:t>
      </w:r>
    </w:p>
    <w:p w:rsidR="00D32508" w:rsidRPr="001555C8" w:rsidRDefault="00D32508" w:rsidP="00D32508">
      <w:pPr>
        <w:pStyle w:val="Textkrper"/>
        <w:rPr>
          <w:szCs w:val="22"/>
        </w:rPr>
      </w:pPr>
    </w:p>
    <w:p w:rsidR="00D32508" w:rsidRDefault="00D32508" w:rsidP="00D32508">
      <w:pPr>
        <w:pStyle w:val="Textkrper"/>
      </w:pPr>
    </w:p>
    <w:p w:rsidR="00D32508" w:rsidRPr="000A177B" w:rsidRDefault="00D32508" w:rsidP="00B346D3">
      <w:pPr>
        <w:pStyle w:val="Textkrper"/>
      </w:pPr>
    </w:p>
    <w:sectPr w:rsidR="00D32508" w:rsidRPr="000A177B" w:rsidSect="009C1508">
      <w:headerReference w:type="default" r:id="rId11"/>
      <w:footerReference w:type="default" r:id="rId12"/>
      <w:headerReference w:type="first" r:id="rId13"/>
      <w:footerReference w:type="first" r:id="rId14"/>
      <w:pgSz w:w="11907" w:h="16840" w:code="9"/>
      <w:pgMar w:top="1701" w:right="1134" w:bottom="1134" w:left="1701" w:header="454"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E6" w:rsidRDefault="00CE22E6">
      <w:r>
        <w:separator/>
      </w:r>
    </w:p>
  </w:endnote>
  <w:endnote w:type="continuationSeparator" w:id="0">
    <w:p w:rsidR="00CE22E6" w:rsidRDefault="00CE22E6">
      <w:r>
        <w:continuationSeparator/>
      </w:r>
    </w:p>
  </w:endnote>
  <w:endnote w:type="continuationNotice" w:id="1">
    <w:p w:rsidR="00CE22E6" w:rsidRDefault="00CE22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DMPNL P+ Times Te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E6" w:rsidRDefault="00896579">
    <w:pPr>
      <w:pStyle w:val="Fuzeile"/>
      <w:tabs>
        <w:tab w:val="clear" w:pos="4536"/>
        <w:tab w:val="clear" w:pos="9072"/>
      </w:tabs>
      <w:spacing w:before="0"/>
    </w:pPr>
    <w:r w:rsidRPr="00896579">
      <w:rPr>
        <w:noProof/>
        <w:sz w:val="20"/>
        <w:lang w:eastAsia="de-CH"/>
      </w:rPr>
      <w:pict>
        <v:line id="Line 3" o:spid="_x0000_s2050"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0" to="70.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" strokeweight="1.75pt">
          <w10:wrap anchorx="page"/>
        </v:line>
      </w:pict>
    </w:r>
  </w:p>
  <w:p w:rsidR="00CE22E6" w:rsidRDefault="00CE22E6">
    <w:pPr>
      <w:pStyle w:val="Fuzeile"/>
      <w:tabs>
        <w:tab w:val="clear" w:pos="4536"/>
        <w:tab w:val="clear" w:pos="9072"/>
      </w:tabs>
      <w:spacing w:befor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E6" w:rsidRDefault="00CE22E6">
    <w:pPr>
      <w:pStyle w:val="Fuzeile"/>
      <w:tabs>
        <w:tab w:val="clear" w:pos="4536"/>
        <w:tab w:val="clear" w:pos="9072"/>
      </w:tabs>
      <w:spacing w:before="0"/>
    </w:pPr>
  </w:p>
  <w:p w:rsidR="00CE22E6" w:rsidRDefault="00CE22E6">
    <w:pPr>
      <w:pStyle w:val="Fuzeile"/>
      <w:tabs>
        <w:tab w:val="clear" w:pos="4536"/>
        <w:tab w:val="clear" w:pos="9072"/>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E6" w:rsidRDefault="00CE22E6">
      <w:r>
        <w:separator/>
      </w:r>
    </w:p>
  </w:footnote>
  <w:footnote w:type="continuationSeparator" w:id="0">
    <w:p w:rsidR="00CE22E6" w:rsidRDefault="00CE22E6">
      <w:r>
        <w:continuationSeparator/>
      </w:r>
    </w:p>
  </w:footnote>
  <w:footnote w:type="continuationNotice" w:id="1">
    <w:p w:rsidR="00CE22E6" w:rsidRDefault="00CE22E6"/>
  </w:footnote>
  <w:footnote w:id="2">
    <w:p w:rsidR="00CE22E6" w:rsidRDefault="00CE22E6" w:rsidP="00696469">
      <w:pPr>
        <w:pStyle w:val="Funotentext"/>
        <w:spacing w:before="60" w:line="200" w:lineRule="atLeast"/>
        <w:ind w:left="284" w:hanging="284"/>
        <w:rPr>
          <w:szCs w:val="18"/>
        </w:rPr>
      </w:pPr>
      <w:r>
        <w:rPr>
          <w:rStyle w:val="Funotenzeichen"/>
          <w:szCs w:val="18"/>
        </w:rPr>
        <w:footnoteRef/>
      </w:r>
      <w:r>
        <w:rPr>
          <w:szCs w:val="18"/>
        </w:rPr>
        <w:tab/>
        <w:t>Artikel 52e BVG. Die Anpassung ist Teil des Gesetzgebungspakets Strukturreform.</w:t>
      </w:r>
    </w:p>
  </w:footnote>
  <w:footnote w:id="3">
    <w:p w:rsidR="00CE22E6" w:rsidRDefault="00CE22E6" w:rsidP="00696469">
      <w:pPr>
        <w:pStyle w:val="Funotentext"/>
        <w:spacing w:before="60" w:line="200" w:lineRule="atLeast"/>
        <w:ind w:left="284" w:hanging="284"/>
        <w:rPr>
          <w:szCs w:val="18"/>
        </w:rPr>
      </w:pPr>
      <w:r>
        <w:rPr>
          <w:rStyle w:val="Funotenzeichen"/>
          <w:szCs w:val="18"/>
        </w:rPr>
        <w:footnoteRef/>
      </w:r>
      <w:r>
        <w:rPr>
          <w:szCs w:val="18"/>
        </w:rPr>
        <w:tab/>
        <w:t>Fachrichtlinien sind für die Mitglieder der Kammer verbindlich.</w:t>
      </w:r>
    </w:p>
  </w:footnote>
  <w:footnote w:id="4">
    <w:p w:rsidR="00CE22E6" w:rsidRDefault="00CE22E6" w:rsidP="00466C1D">
      <w:pPr>
        <w:pStyle w:val="Funotentext"/>
        <w:tabs>
          <w:tab w:val="left" w:pos="284"/>
        </w:tabs>
        <w:spacing w:before="60"/>
        <w:ind w:left="284" w:hanging="284"/>
        <w:jc w:val="both"/>
      </w:pPr>
      <w:r>
        <w:rPr>
          <w:rStyle w:val="Funotenzeichen"/>
        </w:rPr>
        <w:footnoteRef/>
      </w:r>
      <w:r>
        <w:rPr>
          <w:szCs w:val="18"/>
          <w:lang w:eastAsia="de-CH"/>
        </w:rPr>
        <w:tab/>
      </w:r>
      <w:r w:rsidRPr="00824B1B">
        <w:rPr>
          <w:szCs w:val="18"/>
          <w:lang w:eastAsia="de-CH"/>
        </w:rPr>
        <w:t xml:space="preserve">Der Barwert der erworbenen Leistungen (BEL) entspricht der im Leistungsprimat individuell erworbenen Austrittsleistung (analog </w:t>
      </w:r>
      <w:r w:rsidRPr="00824B1B">
        <w:t>Altersguthaben</w:t>
      </w:r>
      <w:r w:rsidRPr="00824B1B">
        <w:rPr>
          <w:szCs w:val="18"/>
          <w:lang w:eastAsia="de-CH"/>
        </w:rPr>
        <w:t xml:space="preserve"> im Beitragsprimat). Der BEL und damit die Leistungen wachsen mit den Beitragsjahren und dem versicherten Lohn an. Dieser Sparprozess basiert auf den technischen Grundlagen der Pensionskasse. Mit dem im Reglement festgehaltenen Tarif kann die versicherte Person ihren individuellen BEL ablesen. Der Sparprozess – also die Entwicklung des BEL – verläuft weniger anschaulich als im Beitragsprimat, bei dem das individuelle </w:t>
      </w:r>
      <w:r w:rsidRPr="00824B1B">
        <w:t>Altersguthaben</w:t>
      </w:r>
      <w:r w:rsidRPr="00824B1B">
        <w:rPr>
          <w:szCs w:val="18"/>
          <w:lang w:eastAsia="de-CH"/>
        </w:rPr>
        <w:t xml:space="preserve"> jährlich durch Zinsen, Einlagen und </w:t>
      </w:r>
      <w:r w:rsidRPr="00824B1B">
        <w:t xml:space="preserve">Altersgutschriften </w:t>
      </w:r>
      <w:r w:rsidRPr="00824B1B">
        <w:rPr>
          <w:szCs w:val="18"/>
          <w:lang w:eastAsia="de-CH"/>
        </w:rPr>
        <w:t>wächst.</w:t>
      </w:r>
    </w:p>
  </w:footnote>
  <w:footnote w:id="5">
    <w:p w:rsidR="00CE22E6" w:rsidRDefault="00CE22E6" w:rsidP="0026467D">
      <w:pPr>
        <w:pStyle w:val="Funotentext"/>
        <w:spacing w:before="60"/>
        <w:ind w:left="284" w:hanging="284"/>
      </w:pPr>
      <w:r>
        <w:rPr>
          <w:rStyle w:val="Funotenzeichen"/>
        </w:rPr>
        <w:footnoteRef/>
      </w:r>
      <w:r>
        <w:t xml:space="preserve"> </w:t>
      </w:r>
      <w:r>
        <w:tab/>
        <w:t xml:space="preserve">Vgl. auch Botschaft des Bundesrates vom 19. September 2008 über die Änderung des BVG zur Finanzierung der Vorsorgeeinrichtungen öffentlich rechtlicher Vorsorgeeinrichtungen, </w:t>
      </w:r>
      <w:proofErr w:type="spellStart"/>
      <w:r>
        <w:t>BBl</w:t>
      </w:r>
      <w:proofErr w:type="spellEnd"/>
      <w:r>
        <w:t xml:space="preserve"> 2008 8419.</w:t>
      </w:r>
    </w:p>
  </w:footnote>
  <w:footnote w:id="6">
    <w:p w:rsidR="00CE22E6" w:rsidRDefault="00CE22E6" w:rsidP="00DD0BFC">
      <w:pPr>
        <w:pStyle w:val="Funotentext"/>
        <w:spacing w:before="60"/>
        <w:ind w:left="284" w:hanging="284"/>
        <w:jc w:val="both"/>
      </w:pPr>
      <w:r w:rsidRPr="006D7FB5">
        <w:rPr>
          <w:rStyle w:val="Funotenzeichen"/>
        </w:rPr>
        <w:footnoteRef/>
      </w:r>
      <w:r w:rsidRPr="006D7FB5">
        <w:t xml:space="preserve"> </w:t>
      </w:r>
      <w:r w:rsidRPr="006D7FB5">
        <w:tab/>
        <w:t>Unter "Realverzinsung" wird die Differenz zwischen gutgeschriebenem Zins und Lohnerhöhung verstanden. Bei einer Lohnerhöhung von 2.0% muss der Zins somit 3.0% betragen, damit das modellmässige Leistungsziel (bestimmt mit einer "Realverzinsung" von 1.0%) erreicht wird. Fällt die "Realverzinsung" höher aus, liegt der Rentensatz darüber, im umgekehrten Fall darunter.</w:t>
      </w:r>
    </w:p>
  </w:footnote>
  <w:footnote w:id="7">
    <w:p w:rsidR="00CE22E6" w:rsidRDefault="00CE22E6" w:rsidP="00E34EB1">
      <w:pPr>
        <w:pStyle w:val="Funotentext"/>
        <w:ind w:left="284" w:hanging="284"/>
      </w:pPr>
      <w:r>
        <w:rPr>
          <w:rStyle w:val="Funotenzeichen"/>
        </w:rPr>
        <w:footnoteRef/>
      </w:r>
      <w:r>
        <w:t xml:space="preserve"> </w:t>
      </w:r>
      <w:r>
        <w:tab/>
        <w:t>Unter Annahme des für die aktiven Versicherten massgebenden technischen Zinssatze von 3.75%.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E6" w:rsidRDefault="00896579">
    <w:pPr>
      <w:pStyle w:val="Kopfzeile2Seite1Zeile"/>
      <w:rPr>
        <w:b w:val="0"/>
        <w:bCs w:val="0"/>
      </w:rPr>
    </w:pPr>
    <w:r w:rsidRPr="00896579">
      <w:rPr>
        <w:noProof/>
        <w:lang w:eastAsia="de-CH"/>
      </w:rPr>
      <w:pict>
        <v:line id="Line 2" o:spid="_x0000_s2049"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0" to="70.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" strokeweight="1.75pt">
          <w10:wrap anchorx="page"/>
        </v:line>
      </w:pict>
    </w:r>
  </w:p>
  <w:p w:rsidR="00CE22E6" w:rsidRDefault="00CE22E6">
    <w:pPr>
      <w:pStyle w:val="Kopfzeile2Seite2Zeile"/>
      <w:tabs>
        <w:tab w:val="clear" w:pos="8592"/>
        <w:tab w:val="right" w:pos="9072"/>
      </w:tabs>
    </w:pPr>
    <w:r>
      <w:t>Pensionskommission der Pensionskasse der Stadt Olten</w:t>
    </w:r>
    <w:r>
      <w:tab/>
      <w:t xml:space="preserve">Seite </w:t>
    </w:r>
    <w:r w:rsidR="00896579">
      <w:rPr>
        <w:rStyle w:val="Seitenzahl"/>
      </w:rPr>
      <w:fldChar w:fldCharType="begin"/>
    </w:r>
    <w:r>
      <w:rPr>
        <w:rStyle w:val="Seitenzahl"/>
      </w:rPr>
      <w:instrText xml:space="preserve"> PAGE </w:instrText>
    </w:r>
    <w:r w:rsidR="00896579">
      <w:rPr>
        <w:rStyle w:val="Seitenzahl"/>
      </w:rPr>
      <w:fldChar w:fldCharType="separate"/>
    </w:r>
    <w:r w:rsidR="00800893">
      <w:rPr>
        <w:rStyle w:val="Seitenzahl"/>
        <w:noProof/>
      </w:rPr>
      <w:t>45</w:t>
    </w:r>
    <w:r w:rsidR="00896579">
      <w:rPr>
        <w:rStyle w:val="Seitenzah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E6" w:rsidRDefault="00CE22E6">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50A5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8767B5"/>
    <w:multiLevelType w:val="hybridMultilevel"/>
    <w:tmpl w:val="97028FFC"/>
    <w:lvl w:ilvl="0" w:tplc="DEA4B4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0E55482"/>
    <w:multiLevelType w:val="hybridMultilevel"/>
    <w:tmpl w:val="9CBC3F36"/>
    <w:lvl w:ilvl="0" w:tplc="93222D02">
      <w:start w:val="1"/>
      <w:numFmt w:val="lowerLetter"/>
      <w:lvlText w:val="%1."/>
      <w:lvlJc w:val="left"/>
      <w:pPr>
        <w:ind w:left="100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20A3680"/>
    <w:multiLevelType w:val="hybridMultilevel"/>
    <w:tmpl w:val="374851EA"/>
    <w:lvl w:ilvl="0" w:tplc="123A8446">
      <w:start w:val="1"/>
      <w:numFmt w:val="decimal"/>
      <w:pStyle w:val="Nummerierung1"/>
      <w:lvlText w:val="%1."/>
      <w:lvlJc w:val="left"/>
      <w:pPr>
        <w:tabs>
          <w:tab w:val="num" w:pos="851"/>
        </w:tabs>
        <w:ind w:left="851" w:hanging="42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32E0978"/>
    <w:multiLevelType w:val="hybridMultilevel"/>
    <w:tmpl w:val="C39E4024"/>
    <w:lvl w:ilvl="0" w:tplc="C7CEE6F6">
      <w:start w:val="1"/>
      <w:numFmt w:val="bullet"/>
      <w:pStyle w:val="Aufz2"/>
      <w:lvlText w:val="-"/>
      <w:lvlJc w:val="left"/>
      <w:pPr>
        <w:tabs>
          <w:tab w:val="num" w:pos="360"/>
        </w:tabs>
        <w:ind w:left="284" w:hanging="284"/>
      </w:pPr>
      <w:rPr>
        <w:rFonts w:ascii="Arial" w:hAnsi="Arial" w:hint="default"/>
        <w:sz w:val="18"/>
        <w:szCs w:val="18"/>
      </w:rPr>
    </w:lvl>
    <w:lvl w:ilvl="1" w:tplc="08070003" w:tentative="1">
      <w:start w:val="1"/>
      <w:numFmt w:val="bullet"/>
      <w:lvlText w:val="o"/>
      <w:lvlJc w:val="left"/>
      <w:pPr>
        <w:tabs>
          <w:tab w:val="num" w:pos="1014"/>
        </w:tabs>
        <w:ind w:left="1014" w:hanging="360"/>
      </w:pPr>
      <w:rPr>
        <w:rFonts w:ascii="Courier New" w:hAnsi="Courier New" w:cs="Courier New" w:hint="default"/>
      </w:rPr>
    </w:lvl>
    <w:lvl w:ilvl="2" w:tplc="08070005" w:tentative="1">
      <w:start w:val="1"/>
      <w:numFmt w:val="bullet"/>
      <w:lvlText w:val=""/>
      <w:lvlJc w:val="left"/>
      <w:pPr>
        <w:tabs>
          <w:tab w:val="num" w:pos="1734"/>
        </w:tabs>
        <w:ind w:left="1734" w:hanging="360"/>
      </w:pPr>
      <w:rPr>
        <w:rFonts w:ascii="Wingdings" w:hAnsi="Wingdings" w:hint="default"/>
      </w:rPr>
    </w:lvl>
    <w:lvl w:ilvl="3" w:tplc="08070001" w:tentative="1">
      <w:start w:val="1"/>
      <w:numFmt w:val="bullet"/>
      <w:lvlText w:val=""/>
      <w:lvlJc w:val="left"/>
      <w:pPr>
        <w:tabs>
          <w:tab w:val="num" w:pos="2454"/>
        </w:tabs>
        <w:ind w:left="2454" w:hanging="360"/>
      </w:pPr>
      <w:rPr>
        <w:rFonts w:ascii="Symbol" w:hAnsi="Symbol" w:hint="default"/>
      </w:rPr>
    </w:lvl>
    <w:lvl w:ilvl="4" w:tplc="08070003" w:tentative="1">
      <w:start w:val="1"/>
      <w:numFmt w:val="bullet"/>
      <w:lvlText w:val="o"/>
      <w:lvlJc w:val="left"/>
      <w:pPr>
        <w:tabs>
          <w:tab w:val="num" w:pos="3174"/>
        </w:tabs>
        <w:ind w:left="3174" w:hanging="360"/>
      </w:pPr>
      <w:rPr>
        <w:rFonts w:ascii="Courier New" w:hAnsi="Courier New" w:cs="Courier New" w:hint="default"/>
      </w:rPr>
    </w:lvl>
    <w:lvl w:ilvl="5" w:tplc="08070005" w:tentative="1">
      <w:start w:val="1"/>
      <w:numFmt w:val="bullet"/>
      <w:lvlText w:val=""/>
      <w:lvlJc w:val="left"/>
      <w:pPr>
        <w:tabs>
          <w:tab w:val="num" w:pos="3894"/>
        </w:tabs>
        <w:ind w:left="3894" w:hanging="360"/>
      </w:pPr>
      <w:rPr>
        <w:rFonts w:ascii="Wingdings" w:hAnsi="Wingdings" w:hint="default"/>
      </w:rPr>
    </w:lvl>
    <w:lvl w:ilvl="6" w:tplc="08070001" w:tentative="1">
      <w:start w:val="1"/>
      <w:numFmt w:val="bullet"/>
      <w:lvlText w:val=""/>
      <w:lvlJc w:val="left"/>
      <w:pPr>
        <w:tabs>
          <w:tab w:val="num" w:pos="4614"/>
        </w:tabs>
        <w:ind w:left="4614" w:hanging="360"/>
      </w:pPr>
      <w:rPr>
        <w:rFonts w:ascii="Symbol" w:hAnsi="Symbol" w:hint="default"/>
      </w:rPr>
    </w:lvl>
    <w:lvl w:ilvl="7" w:tplc="08070003" w:tentative="1">
      <w:start w:val="1"/>
      <w:numFmt w:val="bullet"/>
      <w:lvlText w:val="o"/>
      <w:lvlJc w:val="left"/>
      <w:pPr>
        <w:tabs>
          <w:tab w:val="num" w:pos="5334"/>
        </w:tabs>
        <w:ind w:left="5334" w:hanging="360"/>
      </w:pPr>
      <w:rPr>
        <w:rFonts w:ascii="Courier New" w:hAnsi="Courier New" w:cs="Courier New" w:hint="default"/>
      </w:rPr>
    </w:lvl>
    <w:lvl w:ilvl="8" w:tplc="08070005" w:tentative="1">
      <w:start w:val="1"/>
      <w:numFmt w:val="bullet"/>
      <w:lvlText w:val=""/>
      <w:lvlJc w:val="left"/>
      <w:pPr>
        <w:tabs>
          <w:tab w:val="num" w:pos="6054"/>
        </w:tabs>
        <w:ind w:left="6054" w:hanging="360"/>
      </w:pPr>
      <w:rPr>
        <w:rFonts w:ascii="Wingdings" w:hAnsi="Wingdings" w:hint="default"/>
      </w:rPr>
    </w:lvl>
  </w:abstractNum>
  <w:abstractNum w:abstractNumId="5">
    <w:nsid w:val="167F4739"/>
    <w:multiLevelType w:val="hybridMultilevel"/>
    <w:tmpl w:val="98600448"/>
    <w:lvl w:ilvl="0" w:tplc="04090001">
      <w:start w:val="1"/>
      <w:numFmt w:val="bullet"/>
      <w:lvlText w:val=""/>
      <w:lvlJc w:val="left"/>
      <w:pPr>
        <w:ind w:left="720" w:hanging="360"/>
      </w:pPr>
      <w:rPr>
        <w:rFonts w:ascii="Symbol" w:eastAsia="Times New Roman" w:hAnsi="Symbol" w:cs="Times New Roman" w:hint="default"/>
      </w:rPr>
    </w:lvl>
    <w:lvl w:ilvl="1" w:tplc="94F289FC">
      <w:start w:val="1"/>
      <w:numFmt w:val="upperRoman"/>
      <w:pStyle w:val="berschrift2Gesetz"/>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34178"/>
    <w:multiLevelType w:val="hybridMultilevel"/>
    <w:tmpl w:val="D54ECE7A"/>
    <w:lvl w:ilvl="0" w:tplc="971EC15A">
      <w:start w:val="1"/>
      <w:numFmt w:val="lowerLetter"/>
      <w:pStyle w:val="Nummerierung2"/>
      <w:lvlText w:val="%1)"/>
      <w:lvlJc w:val="left"/>
      <w:pPr>
        <w:tabs>
          <w:tab w:val="num" w:pos="851"/>
        </w:tabs>
        <w:ind w:left="851" w:hanging="42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A020440"/>
    <w:multiLevelType w:val="multilevel"/>
    <w:tmpl w:val="0472CDCC"/>
    <w:lvl w:ilvl="0">
      <w:start w:val="1"/>
      <w:numFmt w:val="decimal"/>
      <w:pStyle w:val="berschrift1Brief"/>
      <w:lvlText w:val="%1"/>
      <w:lvlJc w:val="left"/>
      <w:pPr>
        <w:tabs>
          <w:tab w:val="num" w:pos="432"/>
        </w:tabs>
        <w:ind w:left="432" w:hanging="432"/>
      </w:pPr>
      <w:rPr>
        <w:rFonts w:hint="default"/>
      </w:rPr>
    </w:lvl>
    <w:lvl w:ilvl="1">
      <w:start w:val="1"/>
      <w:numFmt w:val="decimal"/>
      <w:pStyle w:val="berschrift2Brief"/>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ABF37F2"/>
    <w:multiLevelType w:val="hybridMultilevel"/>
    <w:tmpl w:val="E2DA8378"/>
    <w:lvl w:ilvl="0" w:tplc="09C4E5D8">
      <w:start w:val="1"/>
      <w:numFmt w:val="lowerRoman"/>
      <w:pStyle w:val="Nummerierung3"/>
      <w:lvlText w:val="%1."/>
      <w:lvlJc w:val="left"/>
      <w:pPr>
        <w:tabs>
          <w:tab w:val="num" w:pos="1571"/>
        </w:tabs>
        <w:ind w:left="1276"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C145F6D"/>
    <w:multiLevelType w:val="hybridMultilevel"/>
    <w:tmpl w:val="4A2A7B96"/>
    <w:lvl w:ilvl="0" w:tplc="DEA4B4AE">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1CBF0BAC"/>
    <w:multiLevelType w:val="singleLevel"/>
    <w:tmpl w:val="3E8021E2"/>
    <w:lvl w:ilvl="0">
      <w:start w:val="27"/>
      <w:numFmt w:val="lowerLetter"/>
      <w:pStyle w:val="ber5"/>
      <w:lvlText w:val="%1)"/>
      <w:lvlJc w:val="left"/>
      <w:pPr>
        <w:tabs>
          <w:tab w:val="num" w:pos="2265"/>
        </w:tabs>
        <w:ind w:left="2265" w:hanging="555"/>
      </w:pPr>
      <w:rPr>
        <w:rFonts w:hint="default"/>
      </w:rPr>
    </w:lvl>
  </w:abstractNum>
  <w:abstractNum w:abstractNumId="11">
    <w:nsid w:val="1CE8278E"/>
    <w:multiLevelType w:val="hybridMultilevel"/>
    <w:tmpl w:val="7016A014"/>
    <w:lvl w:ilvl="0" w:tplc="A49200D4">
      <w:start w:val="1"/>
      <w:numFmt w:val="lowerLetter"/>
      <w:lvlText w:val="%1."/>
      <w:lvlJc w:val="left"/>
      <w:pPr>
        <w:ind w:left="100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7C56F69"/>
    <w:multiLevelType w:val="hybridMultilevel"/>
    <w:tmpl w:val="C42A1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9A83EB2"/>
    <w:multiLevelType w:val="hybridMultilevel"/>
    <w:tmpl w:val="7E4E0A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DC23A77"/>
    <w:multiLevelType w:val="hybridMultilevel"/>
    <w:tmpl w:val="2E3AC0FC"/>
    <w:lvl w:ilvl="0" w:tplc="A33CB2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204A96"/>
    <w:multiLevelType w:val="hybridMultilevel"/>
    <w:tmpl w:val="F2AEC0FC"/>
    <w:lvl w:ilvl="0" w:tplc="BD4A6EE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345A2F51"/>
    <w:multiLevelType w:val="hybridMultilevel"/>
    <w:tmpl w:val="4B5C5F9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370914E3"/>
    <w:multiLevelType w:val="hybridMultilevel"/>
    <w:tmpl w:val="F6A818EE"/>
    <w:lvl w:ilvl="0" w:tplc="DEA4B4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CE00D1B"/>
    <w:multiLevelType w:val="multilevel"/>
    <w:tmpl w:val="5C0CB5A6"/>
    <w:lvl w:ilvl="0">
      <w:start w:val="1"/>
      <w:numFmt w:val="decimal"/>
      <w:pStyle w:val="berschrift1"/>
      <w:lvlText w:val="%1."/>
      <w:lvlJc w:val="left"/>
      <w:pPr>
        <w:ind w:left="360" w:hanging="360"/>
      </w:pPr>
      <w:rPr>
        <w:rFonts w:hint="default"/>
      </w:rPr>
    </w:lvl>
    <w:lvl w:ilvl="1">
      <w:start w:val="1"/>
      <w:numFmt w:val="decimal"/>
      <w:lvlText w:val="Art. %2."/>
      <w:lvlJc w:val="left"/>
      <w:pPr>
        <w:tabs>
          <w:tab w:val="num" w:pos="1134"/>
        </w:tabs>
        <w:ind w:left="1134" w:hanging="1134"/>
      </w:pPr>
      <w:rPr>
        <w:rFonts w:hint="default"/>
        <w:b/>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num" w:pos="720"/>
        </w:tabs>
        <w:ind w:left="0" w:firstLine="0"/>
      </w:pPr>
      <w:rPr>
        <w:rFonts w:cs="Times New Roman" w:hint="default"/>
      </w:rPr>
    </w:lvl>
    <w:lvl w:ilvl="3">
      <w:start w:val="1"/>
      <w:numFmt w:val="decimal"/>
      <w:lvlText w:val="Art. %1.%2.%3.%4"/>
      <w:lvlJc w:val="left"/>
      <w:pPr>
        <w:tabs>
          <w:tab w:val="num" w:pos="0"/>
        </w:tabs>
        <w:ind w:left="0" w:firstLine="0"/>
      </w:pPr>
      <w:rPr>
        <w:rFonts w:cs="Times New Roman" w:hint="default"/>
      </w:rPr>
    </w:lvl>
    <w:lvl w:ilvl="4">
      <w:start w:val="1"/>
      <w:numFmt w:val="decimal"/>
      <w:pStyle w:val="berschrift5"/>
      <w:lvlText w:val="Art. %1.%2.%3.%4.%5"/>
      <w:lvlJc w:val="left"/>
      <w:pPr>
        <w:tabs>
          <w:tab w:val="num" w:pos="0"/>
        </w:tabs>
        <w:ind w:left="0" w:firstLine="0"/>
      </w:pPr>
      <w:rPr>
        <w:rFonts w:cs="Times New Roman" w:hint="default"/>
      </w:rPr>
    </w:lvl>
    <w:lvl w:ilvl="5">
      <w:start w:val="1"/>
      <w:numFmt w:val="decimal"/>
      <w:pStyle w:val="berschrift6"/>
      <w:lvlText w:val="Art. %1.%2.%3.%4.%5.%6"/>
      <w:lvlJc w:val="left"/>
      <w:pPr>
        <w:tabs>
          <w:tab w:val="num" w:pos="0"/>
        </w:tabs>
        <w:ind w:left="0" w:firstLine="0"/>
      </w:pPr>
      <w:rPr>
        <w:rFonts w:cs="Times New Roman" w:hint="default"/>
      </w:rPr>
    </w:lvl>
    <w:lvl w:ilvl="6">
      <w:start w:val="1"/>
      <w:numFmt w:val="decimal"/>
      <w:pStyle w:val="berschrift7"/>
      <w:lvlText w:val="Art. %1.%2.%3.%4.%5.%6.%7"/>
      <w:lvlJc w:val="left"/>
      <w:pPr>
        <w:tabs>
          <w:tab w:val="num" w:pos="0"/>
        </w:tabs>
        <w:ind w:left="0" w:firstLine="0"/>
      </w:pPr>
      <w:rPr>
        <w:rFonts w:cs="Times New Roman" w:hint="default"/>
      </w:rPr>
    </w:lvl>
    <w:lvl w:ilvl="7">
      <w:start w:val="1"/>
      <w:numFmt w:val="decimal"/>
      <w:pStyle w:val="berschrift8"/>
      <w:lvlText w:val="Art. %1.%2.%3.%4.%5.%6.%7.%8"/>
      <w:lvlJc w:val="left"/>
      <w:pPr>
        <w:tabs>
          <w:tab w:val="num" w:pos="0"/>
        </w:tabs>
        <w:ind w:left="0" w:firstLine="0"/>
      </w:pPr>
      <w:rPr>
        <w:rFonts w:cs="Times New Roman" w:hint="default"/>
      </w:rPr>
    </w:lvl>
    <w:lvl w:ilvl="8">
      <w:start w:val="1"/>
      <w:numFmt w:val="decimal"/>
      <w:pStyle w:val="berschrift9"/>
      <w:lvlText w:val="Art. %1.%2.%3.%4.%5.%6.%7.%8.%9"/>
      <w:lvlJc w:val="left"/>
      <w:pPr>
        <w:tabs>
          <w:tab w:val="num" w:pos="0"/>
        </w:tabs>
        <w:ind w:left="0" w:firstLine="0"/>
      </w:pPr>
      <w:rPr>
        <w:rFonts w:cs="Times New Roman" w:hint="default"/>
      </w:rPr>
    </w:lvl>
  </w:abstractNum>
  <w:abstractNum w:abstractNumId="19">
    <w:nsid w:val="41505020"/>
    <w:multiLevelType w:val="hybridMultilevel"/>
    <w:tmpl w:val="33D27A0C"/>
    <w:lvl w:ilvl="0" w:tplc="94F289FC">
      <w:start w:val="1"/>
      <w:numFmt w:val="bullet"/>
      <w:pStyle w:val="Aufzhlung3"/>
      <w:lvlText w:val="-"/>
      <w:lvlJc w:val="left"/>
      <w:pPr>
        <w:tabs>
          <w:tab w:val="num" w:pos="1276"/>
        </w:tabs>
        <w:ind w:left="1276" w:hanging="425"/>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5470755"/>
    <w:multiLevelType w:val="hybridMultilevel"/>
    <w:tmpl w:val="A4CA6996"/>
    <w:lvl w:ilvl="0" w:tplc="EDB6DDB4">
      <w:start w:val="1"/>
      <w:numFmt w:val="lowerLetter"/>
      <w:lvlText w:val="%1."/>
      <w:lvlJc w:val="left"/>
      <w:pPr>
        <w:ind w:left="100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548B1B76"/>
    <w:multiLevelType w:val="hybridMultilevel"/>
    <w:tmpl w:val="6DEEC968"/>
    <w:lvl w:ilvl="0" w:tplc="579EE220">
      <w:start w:val="1"/>
      <w:numFmt w:val="lowerLetter"/>
      <w:lvlText w:val="%1."/>
      <w:lvlJc w:val="left"/>
      <w:pPr>
        <w:ind w:left="100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90B49C3"/>
    <w:multiLevelType w:val="singleLevel"/>
    <w:tmpl w:val="4044BE66"/>
    <w:lvl w:ilvl="0">
      <w:start w:val="1"/>
      <w:numFmt w:val="decimal"/>
      <w:pStyle w:val="Nummerierung"/>
      <w:lvlText w:val="%1."/>
      <w:lvlJc w:val="left"/>
      <w:pPr>
        <w:tabs>
          <w:tab w:val="num" w:pos="360"/>
        </w:tabs>
        <w:ind w:left="360" w:hanging="360"/>
      </w:pPr>
    </w:lvl>
  </w:abstractNum>
  <w:abstractNum w:abstractNumId="23">
    <w:nsid w:val="5CEB6873"/>
    <w:multiLevelType w:val="hybridMultilevel"/>
    <w:tmpl w:val="AFF24B04"/>
    <w:lvl w:ilvl="0" w:tplc="2934F2F0">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67B8543A"/>
    <w:multiLevelType w:val="singleLevel"/>
    <w:tmpl w:val="0172DD68"/>
    <w:lvl w:ilvl="0">
      <w:start w:val="1"/>
      <w:numFmt w:val="bullet"/>
      <w:pStyle w:val="Aufzhlung"/>
      <w:lvlText w:val="-"/>
      <w:lvlJc w:val="left"/>
      <w:pPr>
        <w:tabs>
          <w:tab w:val="num" w:pos="360"/>
        </w:tabs>
        <w:ind w:left="360" w:hanging="360"/>
      </w:pPr>
      <w:rPr>
        <w:sz w:val="16"/>
      </w:rPr>
    </w:lvl>
  </w:abstractNum>
  <w:abstractNum w:abstractNumId="25">
    <w:nsid w:val="682B10A7"/>
    <w:multiLevelType w:val="hybridMultilevel"/>
    <w:tmpl w:val="094869F6"/>
    <w:lvl w:ilvl="0" w:tplc="314CB546">
      <w:start w:val="1"/>
      <w:numFmt w:val="bullet"/>
      <w:pStyle w:val="Aufzhlung1"/>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9942AF8"/>
    <w:multiLevelType w:val="hybridMultilevel"/>
    <w:tmpl w:val="4A1EAECC"/>
    <w:lvl w:ilvl="0" w:tplc="08070019">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27">
    <w:nsid w:val="6B322569"/>
    <w:multiLevelType w:val="multilevel"/>
    <w:tmpl w:val="CA34B176"/>
    <w:lvl w:ilvl="0">
      <w:start w:val="1"/>
      <w:numFmt w:val="decimal"/>
      <w:lvlText w:val="%1."/>
      <w:lvlJc w:val="left"/>
      <w:pPr>
        <w:tabs>
          <w:tab w:val="num" w:pos="432"/>
        </w:tabs>
        <w:ind w:left="432" w:hanging="432"/>
      </w:pPr>
      <w:rPr>
        <w:rFonts w:hint="default"/>
      </w:rPr>
    </w:lvl>
    <w:lvl w:ilvl="1">
      <w:start w:val="1"/>
      <w:numFmt w:val="decimal"/>
      <w:pStyle w:val="berschrift2"/>
      <w:isLgl/>
      <w:lvlText w:val="%1.%2"/>
      <w:lvlJc w:val="left"/>
      <w:pPr>
        <w:tabs>
          <w:tab w:val="num" w:pos="2836"/>
        </w:tabs>
        <w:ind w:left="2836"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069360C"/>
    <w:multiLevelType w:val="hybridMultilevel"/>
    <w:tmpl w:val="598809A8"/>
    <w:lvl w:ilvl="0" w:tplc="48C4E08E">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FF4907"/>
    <w:multiLevelType w:val="hybridMultilevel"/>
    <w:tmpl w:val="86D877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71407077"/>
    <w:multiLevelType w:val="singleLevel"/>
    <w:tmpl w:val="4E14B926"/>
    <w:lvl w:ilvl="0">
      <w:start w:val="1"/>
      <w:numFmt w:val="bullet"/>
      <w:pStyle w:val="Aufz1"/>
      <w:lvlText w:val=""/>
      <w:lvlJc w:val="left"/>
      <w:pPr>
        <w:tabs>
          <w:tab w:val="num" w:pos="360"/>
        </w:tabs>
        <w:ind w:left="360" w:hanging="360"/>
      </w:pPr>
      <w:rPr>
        <w:rFonts w:ascii="Symbol" w:hAnsi="Symbol" w:hint="default"/>
        <w:color w:val="000000"/>
        <w:sz w:val="20"/>
        <w:u w:color="000000"/>
      </w:rPr>
    </w:lvl>
  </w:abstractNum>
  <w:abstractNum w:abstractNumId="31">
    <w:nsid w:val="758413B6"/>
    <w:multiLevelType w:val="hybridMultilevel"/>
    <w:tmpl w:val="B39A89BC"/>
    <w:lvl w:ilvl="0" w:tplc="DFD23A0C">
      <w:start w:val="1"/>
      <w:numFmt w:val="bullet"/>
      <w:pStyle w:val="Aufzhlung2"/>
      <w:lvlText w:val=""/>
      <w:lvlJc w:val="left"/>
      <w:pPr>
        <w:tabs>
          <w:tab w:val="num" w:pos="851"/>
        </w:tabs>
        <w:ind w:left="851" w:hanging="426"/>
      </w:pPr>
      <w:rPr>
        <w:rFonts w:ascii="Wingdings" w:hAnsi="Wingdings" w:hint="default"/>
      </w:rPr>
    </w:lvl>
    <w:lvl w:ilvl="1" w:tplc="04070003" w:tentative="1">
      <w:start w:val="1"/>
      <w:numFmt w:val="bullet"/>
      <w:lvlText w:val="o"/>
      <w:lvlJc w:val="left"/>
      <w:pPr>
        <w:tabs>
          <w:tab w:val="num" w:pos="1865"/>
        </w:tabs>
        <w:ind w:left="1865" w:hanging="360"/>
      </w:pPr>
      <w:rPr>
        <w:rFonts w:ascii="Courier New" w:hAnsi="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32">
    <w:nsid w:val="7A0A19B4"/>
    <w:multiLevelType w:val="hybridMultilevel"/>
    <w:tmpl w:val="A4CA6996"/>
    <w:lvl w:ilvl="0" w:tplc="EDB6DDB4">
      <w:start w:val="1"/>
      <w:numFmt w:val="lowerLetter"/>
      <w:lvlText w:val="%1."/>
      <w:lvlJc w:val="left"/>
      <w:pPr>
        <w:ind w:left="100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7"/>
  </w:num>
  <w:num w:numId="3">
    <w:abstractNumId w:val="31"/>
  </w:num>
  <w:num w:numId="4">
    <w:abstractNumId w:val="25"/>
  </w:num>
  <w:num w:numId="5">
    <w:abstractNumId w:val="19"/>
  </w:num>
  <w:num w:numId="6">
    <w:abstractNumId w:val="3"/>
  </w:num>
  <w:num w:numId="7">
    <w:abstractNumId w:val="6"/>
  </w:num>
  <w:num w:numId="8">
    <w:abstractNumId w:val="8"/>
  </w:num>
  <w:num w:numId="9">
    <w:abstractNumId w:val="7"/>
  </w:num>
  <w:num w:numId="10">
    <w:abstractNumId w:val="10"/>
  </w:num>
  <w:num w:numId="11">
    <w:abstractNumId w:val="24"/>
  </w:num>
  <w:num w:numId="12">
    <w:abstractNumId w:val="4"/>
  </w:num>
  <w:num w:numId="13">
    <w:abstractNumId w:val="5"/>
  </w:num>
  <w:num w:numId="14">
    <w:abstractNumId w:val="30"/>
  </w:num>
  <w:num w:numId="15">
    <w:abstractNumId w:val="22"/>
  </w:num>
  <w:num w:numId="16">
    <w:abstractNumId w:val="18"/>
  </w:num>
  <w:num w:numId="17">
    <w:abstractNumId w:val="18"/>
  </w:num>
  <w:num w:numId="18">
    <w:abstractNumId w:val="23"/>
  </w:num>
  <w:num w:numId="19">
    <w:abstractNumId w:val="9"/>
  </w:num>
  <w:num w:numId="20">
    <w:abstractNumId w:val="26"/>
  </w:num>
  <w:num w:numId="21">
    <w:abstractNumId w:val="32"/>
  </w:num>
  <w:num w:numId="22">
    <w:abstractNumId w:val="21"/>
  </w:num>
  <w:num w:numId="23">
    <w:abstractNumId w:val="2"/>
  </w:num>
  <w:num w:numId="24">
    <w:abstractNumId w:val="11"/>
  </w:num>
  <w:num w:numId="25">
    <w:abstractNumId w:val="15"/>
  </w:num>
  <w:num w:numId="26">
    <w:abstractNumId w:val="27"/>
  </w:num>
  <w:num w:numId="27">
    <w:abstractNumId w:val="14"/>
  </w:num>
  <w:num w:numId="28">
    <w:abstractNumId w:val="27"/>
  </w:num>
  <w:num w:numId="29">
    <w:abstractNumId w:val="16"/>
  </w:num>
  <w:num w:numId="30">
    <w:abstractNumId w:val="17"/>
  </w:num>
  <w:num w:numId="31">
    <w:abstractNumId w:val="1"/>
  </w:num>
  <w:num w:numId="32">
    <w:abstractNumId w:val="20"/>
  </w:num>
  <w:num w:numId="33">
    <w:abstractNumId w:val="28"/>
  </w:num>
  <w:num w:numId="34">
    <w:abstractNumId w:val="13"/>
  </w:num>
  <w:num w:numId="35">
    <w:abstractNumId w:val="27"/>
  </w:num>
  <w:num w:numId="36">
    <w:abstractNumId w:val="18"/>
  </w:num>
  <w:num w:numId="37">
    <w:abstractNumId w:val="29"/>
  </w:num>
  <w:num w:numId="38">
    <w:abstractNumId w:val="12"/>
  </w:num>
  <w:num w:numId="39">
    <w:abstractNumId w:val="18"/>
  </w:num>
  <w:num w:numId="40">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de-CH"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de-CH" w:vendorID="9" w:dllVersion="512" w:checkStyle="1"/>
  <w:activeWritingStyle w:appName="MSWord" w:lang="de-DE" w:vendorID="9" w:dllVersion="512" w:checkStyle="1"/>
  <w:activeWritingStyle w:appName="MSWord" w:lang="it-IT" w:vendorID="3" w:dllVersion="517" w:checkStyle="1"/>
  <w:proofState w:spelling="clean"/>
  <w:attachedTemplate r:id="rId1"/>
  <w:stylePaneFormatFilter w:val="3F01"/>
  <w:defaultTabStop w:val="709"/>
  <w:autoHyphenation/>
  <w:hyphenationZone w:val="1418"/>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1">
      <o:colormru v:ext="edit" colors="#9cf,#bdf,#cde6ff,#eaeaea,#f0f0f0,#ddd"/>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E972BB"/>
    <w:rsid w:val="00000CD2"/>
    <w:rsid w:val="0000169A"/>
    <w:rsid w:val="00001B03"/>
    <w:rsid w:val="00001F31"/>
    <w:rsid w:val="000033D3"/>
    <w:rsid w:val="0000442F"/>
    <w:rsid w:val="000045C2"/>
    <w:rsid w:val="00004AD5"/>
    <w:rsid w:val="000050AB"/>
    <w:rsid w:val="00005306"/>
    <w:rsid w:val="00007A4F"/>
    <w:rsid w:val="00007DF7"/>
    <w:rsid w:val="0001453C"/>
    <w:rsid w:val="0001684C"/>
    <w:rsid w:val="00017D05"/>
    <w:rsid w:val="000201D2"/>
    <w:rsid w:val="00021995"/>
    <w:rsid w:val="000220FD"/>
    <w:rsid w:val="00022568"/>
    <w:rsid w:val="00022FF8"/>
    <w:rsid w:val="00024D3B"/>
    <w:rsid w:val="00025317"/>
    <w:rsid w:val="000255ED"/>
    <w:rsid w:val="0002642F"/>
    <w:rsid w:val="000273D8"/>
    <w:rsid w:val="0003273A"/>
    <w:rsid w:val="00032A38"/>
    <w:rsid w:val="00033046"/>
    <w:rsid w:val="00034C75"/>
    <w:rsid w:val="00034E7D"/>
    <w:rsid w:val="00035930"/>
    <w:rsid w:val="0003614F"/>
    <w:rsid w:val="000362C9"/>
    <w:rsid w:val="0004003A"/>
    <w:rsid w:val="000423CE"/>
    <w:rsid w:val="000425B8"/>
    <w:rsid w:val="00043173"/>
    <w:rsid w:val="00043521"/>
    <w:rsid w:val="00045D05"/>
    <w:rsid w:val="00046563"/>
    <w:rsid w:val="00046D67"/>
    <w:rsid w:val="000512B1"/>
    <w:rsid w:val="0005149A"/>
    <w:rsid w:val="000518F1"/>
    <w:rsid w:val="0005190E"/>
    <w:rsid w:val="00051E06"/>
    <w:rsid w:val="000540DA"/>
    <w:rsid w:val="00056BE3"/>
    <w:rsid w:val="00060131"/>
    <w:rsid w:val="00061D60"/>
    <w:rsid w:val="00063D57"/>
    <w:rsid w:val="0006439E"/>
    <w:rsid w:val="000647AD"/>
    <w:rsid w:val="00067930"/>
    <w:rsid w:val="0008170D"/>
    <w:rsid w:val="00083853"/>
    <w:rsid w:val="000838C5"/>
    <w:rsid w:val="00084190"/>
    <w:rsid w:val="00086991"/>
    <w:rsid w:val="00091673"/>
    <w:rsid w:val="00097095"/>
    <w:rsid w:val="000A0C96"/>
    <w:rsid w:val="000A177B"/>
    <w:rsid w:val="000A3B77"/>
    <w:rsid w:val="000A4116"/>
    <w:rsid w:val="000A4E59"/>
    <w:rsid w:val="000A4E83"/>
    <w:rsid w:val="000A57F7"/>
    <w:rsid w:val="000A6C0E"/>
    <w:rsid w:val="000A7DE0"/>
    <w:rsid w:val="000B0010"/>
    <w:rsid w:val="000B140E"/>
    <w:rsid w:val="000B1A56"/>
    <w:rsid w:val="000B3753"/>
    <w:rsid w:val="000B44EB"/>
    <w:rsid w:val="000B554F"/>
    <w:rsid w:val="000B5D2F"/>
    <w:rsid w:val="000B67C0"/>
    <w:rsid w:val="000B6D8E"/>
    <w:rsid w:val="000C0ADC"/>
    <w:rsid w:val="000C0C71"/>
    <w:rsid w:val="000C22EB"/>
    <w:rsid w:val="000C7144"/>
    <w:rsid w:val="000C7360"/>
    <w:rsid w:val="000C7D3E"/>
    <w:rsid w:val="000C7E1A"/>
    <w:rsid w:val="000D0BF0"/>
    <w:rsid w:val="000D0D95"/>
    <w:rsid w:val="000D1963"/>
    <w:rsid w:val="000D1A3D"/>
    <w:rsid w:val="000D1EA0"/>
    <w:rsid w:val="000D254B"/>
    <w:rsid w:val="000D2CF6"/>
    <w:rsid w:val="000D3FCC"/>
    <w:rsid w:val="000D7D6E"/>
    <w:rsid w:val="000E04BC"/>
    <w:rsid w:val="000E2757"/>
    <w:rsid w:val="000E27DC"/>
    <w:rsid w:val="000E3459"/>
    <w:rsid w:val="000E3F83"/>
    <w:rsid w:val="000F128C"/>
    <w:rsid w:val="000F1320"/>
    <w:rsid w:val="000F19B4"/>
    <w:rsid w:val="000F2E39"/>
    <w:rsid w:val="000F511A"/>
    <w:rsid w:val="000F6A53"/>
    <w:rsid w:val="000F7011"/>
    <w:rsid w:val="000F759A"/>
    <w:rsid w:val="0010047B"/>
    <w:rsid w:val="0010061B"/>
    <w:rsid w:val="00101FBE"/>
    <w:rsid w:val="0010427E"/>
    <w:rsid w:val="00107640"/>
    <w:rsid w:val="00111934"/>
    <w:rsid w:val="00111F84"/>
    <w:rsid w:val="00112E6F"/>
    <w:rsid w:val="00112E70"/>
    <w:rsid w:val="00113EEB"/>
    <w:rsid w:val="0011435D"/>
    <w:rsid w:val="001157CC"/>
    <w:rsid w:val="00117141"/>
    <w:rsid w:val="001173CC"/>
    <w:rsid w:val="00117AE3"/>
    <w:rsid w:val="001201B7"/>
    <w:rsid w:val="001232B0"/>
    <w:rsid w:val="001267CC"/>
    <w:rsid w:val="001276E1"/>
    <w:rsid w:val="00127AE0"/>
    <w:rsid w:val="001343EB"/>
    <w:rsid w:val="00134FF8"/>
    <w:rsid w:val="00135575"/>
    <w:rsid w:val="001360CE"/>
    <w:rsid w:val="00136217"/>
    <w:rsid w:val="00136B22"/>
    <w:rsid w:val="00136B70"/>
    <w:rsid w:val="001373EF"/>
    <w:rsid w:val="001408C5"/>
    <w:rsid w:val="00141372"/>
    <w:rsid w:val="001414AC"/>
    <w:rsid w:val="00141FF9"/>
    <w:rsid w:val="00142BE3"/>
    <w:rsid w:val="001432F5"/>
    <w:rsid w:val="00143667"/>
    <w:rsid w:val="00144990"/>
    <w:rsid w:val="00145A0B"/>
    <w:rsid w:val="00146085"/>
    <w:rsid w:val="00150D3D"/>
    <w:rsid w:val="00151258"/>
    <w:rsid w:val="00152C0B"/>
    <w:rsid w:val="00152C40"/>
    <w:rsid w:val="00152CEC"/>
    <w:rsid w:val="001532B6"/>
    <w:rsid w:val="001536CA"/>
    <w:rsid w:val="00154B9D"/>
    <w:rsid w:val="001555C8"/>
    <w:rsid w:val="001565F4"/>
    <w:rsid w:val="00160AEB"/>
    <w:rsid w:val="00161410"/>
    <w:rsid w:val="001618B2"/>
    <w:rsid w:val="00161C9D"/>
    <w:rsid w:val="00161DF0"/>
    <w:rsid w:val="0016270E"/>
    <w:rsid w:val="00164C9D"/>
    <w:rsid w:val="00167097"/>
    <w:rsid w:val="00167C6B"/>
    <w:rsid w:val="00172089"/>
    <w:rsid w:val="00172834"/>
    <w:rsid w:val="00172884"/>
    <w:rsid w:val="00173541"/>
    <w:rsid w:val="0017623F"/>
    <w:rsid w:val="00180302"/>
    <w:rsid w:val="00180423"/>
    <w:rsid w:val="0018177B"/>
    <w:rsid w:val="001833B9"/>
    <w:rsid w:val="0018397E"/>
    <w:rsid w:val="00183CCC"/>
    <w:rsid w:val="00185C5A"/>
    <w:rsid w:val="00186AB9"/>
    <w:rsid w:val="00186F99"/>
    <w:rsid w:val="00187A99"/>
    <w:rsid w:val="001909E6"/>
    <w:rsid w:val="0019416A"/>
    <w:rsid w:val="001943DE"/>
    <w:rsid w:val="00194A2A"/>
    <w:rsid w:val="00195A24"/>
    <w:rsid w:val="00196ABB"/>
    <w:rsid w:val="00196FAC"/>
    <w:rsid w:val="00197443"/>
    <w:rsid w:val="001A021B"/>
    <w:rsid w:val="001A0AD8"/>
    <w:rsid w:val="001A100E"/>
    <w:rsid w:val="001A12C0"/>
    <w:rsid w:val="001A2893"/>
    <w:rsid w:val="001A2BC4"/>
    <w:rsid w:val="001A4323"/>
    <w:rsid w:val="001A5FCD"/>
    <w:rsid w:val="001A6400"/>
    <w:rsid w:val="001A6653"/>
    <w:rsid w:val="001A67AE"/>
    <w:rsid w:val="001A696B"/>
    <w:rsid w:val="001A7C2B"/>
    <w:rsid w:val="001B2020"/>
    <w:rsid w:val="001B3268"/>
    <w:rsid w:val="001B38E3"/>
    <w:rsid w:val="001B3EA6"/>
    <w:rsid w:val="001B45DF"/>
    <w:rsid w:val="001B50EA"/>
    <w:rsid w:val="001B69F8"/>
    <w:rsid w:val="001C13B3"/>
    <w:rsid w:val="001C1AB4"/>
    <w:rsid w:val="001C253D"/>
    <w:rsid w:val="001C346A"/>
    <w:rsid w:val="001C3471"/>
    <w:rsid w:val="001C37CE"/>
    <w:rsid w:val="001C3B49"/>
    <w:rsid w:val="001C4C47"/>
    <w:rsid w:val="001C559F"/>
    <w:rsid w:val="001C56A5"/>
    <w:rsid w:val="001C5ACD"/>
    <w:rsid w:val="001C69D2"/>
    <w:rsid w:val="001C775E"/>
    <w:rsid w:val="001C7951"/>
    <w:rsid w:val="001C7B9C"/>
    <w:rsid w:val="001D0B5D"/>
    <w:rsid w:val="001D1F76"/>
    <w:rsid w:val="001D2ADA"/>
    <w:rsid w:val="001D343D"/>
    <w:rsid w:val="001D424C"/>
    <w:rsid w:val="001D4278"/>
    <w:rsid w:val="001D7C11"/>
    <w:rsid w:val="001E0BDE"/>
    <w:rsid w:val="001E11C7"/>
    <w:rsid w:val="001E156C"/>
    <w:rsid w:val="001E2101"/>
    <w:rsid w:val="001E2C4F"/>
    <w:rsid w:val="001E2F89"/>
    <w:rsid w:val="001E3A01"/>
    <w:rsid w:val="001E4191"/>
    <w:rsid w:val="001E5052"/>
    <w:rsid w:val="001E7209"/>
    <w:rsid w:val="001E72A8"/>
    <w:rsid w:val="001F190E"/>
    <w:rsid w:val="001F45C7"/>
    <w:rsid w:val="001F4D83"/>
    <w:rsid w:val="001F5295"/>
    <w:rsid w:val="001F5C13"/>
    <w:rsid w:val="001F5F0C"/>
    <w:rsid w:val="001F60C2"/>
    <w:rsid w:val="001F70C0"/>
    <w:rsid w:val="00200356"/>
    <w:rsid w:val="00201431"/>
    <w:rsid w:val="00201750"/>
    <w:rsid w:val="0020268B"/>
    <w:rsid w:val="00202B62"/>
    <w:rsid w:val="00202B70"/>
    <w:rsid w:val="002030F7"/>
    <w:rsid w:val="00203333"/>
    <w:rsid w:val="0020364A"/>
    <w:rsid w:val="002038AC"/>
    <w:rsid w:val="00203ED1"/>
    <w:rsid w:val="0020424F"/>
    <w:rsid w:val="00204DDD"/>
    <w:rsid w:val="0020578F"/>
    <w:rsid w:val="002059AB"/>
    <w:rsid w:val="00205C9D"/>
    <w:rsid w:val="0020710D"/>
    <w:rsid w:val="00207406"/>
    <w:rsid w:val="002112B8"/>
    <w:rsid w:val="002128D5"/>
    <w:rsid w:val="00212F37"/>
    <w:rsid w:val="00213EEB"/>
    <w:rsid w:val="00215D35"/>
    <w:rsid w:val="002173FF"/>
    <w:rsid w:val="00220A24"/>
    <w:rsid w:val="00222A21"/>
    <w:rsid w:val="00224500"/>
    <w:rsid w:val="00225157"/>
    <w:rsid w:val="00225B79"/>
    <w:rsid w:val="00226012"/>
    <w:rsid w:val="002261F3"/>
    <w:rsid w:val="002266EF"/>
    <w:rsid w:val="00226C09"/>
    <w:rsid w:val="002275E3"/>
    <w:rsid w:val="00230749"/>
    <w:rsid w:val="00232C8A"/>
    <w:rsid w:val="002331B9"/>
    <w:rsid w:val="00233B4C"/>
    <w:rsid w:val="0023414F"/>
    <w:rsid w:val="00236EBD"/>
    <w:rsid w:val="00237D04"/>
    <w:rsid w:val="00237E0C"/>
    <w:rsid w:val="00237E86"/>
    <w:rsid w:val="00240F8A"/>
    <w:rsid w:val="002412DF"/>
    <w:rsid w:val="002427D3"/>
    <w:rsid w:val="00243313"/>
    <w:rsid w:val="00243B0C"/>
    <w:rsid w:val="00243FDB"/>
    <w:rsid w:val="00244CCF"/>
    <w:rsid w:val="00245136"/>
    <w:rsid w:val="00245B86"/>
    <w:rsid w:val="002469F8"/>
    <w:rsid w:val="0024715E"/>
    <w:rsid w:val="0024741F"/>
    <w:rsid w:val="00247FE2"/>
    <w:rsid w:val="002502FB"/>
    <w:rsid w:val="00250AFC"/>
    <w:rsid w:val="002537B0"/>
    <w:rsid w:val="0025393F"/>
    <w:rsid w:val="002552C9"/>
    <w:rsid w:val="00255A1C"/>
    <w:rsid w:val="002572F3"/>
    <w:rsid w:val="002622C9"/>
    <w:rsid w:val="00263BAC"/>
    <w:rsid w:val="00263C3B"/>
    <w:rsid w:val="0026425B"/>
    <w:rsid w:val="0026467D"/>
    <w:rsid w:val="002647DF"/>
    <w:rsid w:val="0027187F"/>
    <w:rsid w:val="002721EC"/>
    <w:rsid w:val="00272251"/>
    <w:rsid w:val="002748E0"/>
    <w:rsid w:val="00274E0F"/>
    <w:rsid w:val="00277C3A"/>
    <w:rsid w:val="0028024D"/>
    <w:rsid w:val="00280A73"/>
    <w:rsid w:val="00280DAE"/>
    <w:rsid w:val="00281DF9"/>
    <w:rsid w:val="002820B5"/>
    <w:rsid w:val="002821AF"/>
    <w:rsid w:val="00282882"/>
    <w:rsid w:val="00283AD3"/>
    <w:rsid w:val="0028439B"/>
    <w:rsid w:val="00286680"/>
    <w:rsid w:val="002917AD"/>
    <w:rsid w:val="00291E50"/>
    <w:rsid w:val="00293BF0"/>
    <w:rsid w:val="00294A91"/>
    <w:rsid w:val="002958E5"/>
    <w:rsid w:val="00295C7A"/>
    <w:rsid w:val="002968EE"/>
    <w:rsid w:val="00297459"/>
    <w:rsid w:val="00297632"/>
    <w:rsid w:val="002A03BB"/>
    <w:rsid w:val="002A107C"/>
    <w:rsid w:val="002A1156"/>
    <w:rsid w:val="002A3479"/>
    <w:rsid w:val="002A41F0"/>
    <w:rsid w:val="002A5813"/>
    <w:rsid w:val="002A6333"/>
    <w:rsid w:val="002A6F48"/>
    <w:rsid w:val="002A7CF2"/>
    <w:rsid w:val="002B0BC8"/>
    <w:rsid w:val="002B128C"/>
    <w:rsid w:val="002B1AD8"/>
    <w:rsid w:val="002B2044"/>
    <w:rsid w:val="002B22C1"/>
    <w:rsid w:val="002B2B9A"/>
    <w:rsid w:val="002B2EF0"/>
    <w:rsid w:val="002B3AC8"/>
    <w:rsid w:val="002B464C"/>
    <w:rsid w:val="002B470E"/>
    <w:rsid w:val="002B6C89"/>
    <w:rsid w:val="002B7A97"/>
    <w:rsid w:val="002B7EA2"/>
    <w:rsid w:val="002C1CCC"/>
    <w:rsid w:val="002C3904"/>
    <w:rsid w:val="002C3A7C"/>
    <w:rsid w:val="002C41F7"/>
    <w:rsid w:val="002C680C"/>
    <w:rsid w:val="002D0888"/>
    <w:rsid w:val="002D1ED4"/>
    <w:rsid w:val="002D64AB"/>
    <w:rsid w:val="002E047B"/>
    <w:rsid w:val="002E115D"/>
    <w:rsid w:val="002E299C"/>
    <w:rsid w:val="002E3CDA"/>
    <w:rsid w:val="002E4756"/>
    <w:rsid w:val="002E47A2"/>
    <w:rsid w:val="002E4A92"/>
    <w:rsid w:val="002E4CE5"/>
    <w:rsid w:val="002E74BD"/>
    <w:rsid w:val="002E755B"/>
    <w:rsid w:val="002F05A5"/>
    <w:rsid w:val="002F1A77"/>
    <w:rsid w:val="002F3E3B"/>
    <w:rsid w:val="002F43FC"/>
    <w:rsid w:val="002F501E"/>
    <w:rsid w:val="002F5031"/>
    <w:rsid w:val="002F6CCD"/>
    <w:rsid w:val="002F729B"/>
    <w:rsid w:val="00301B97"/>
    <w:rsid w:val="00301CF1"/>
    <w:rsid w:val="00301F4D"/>
    <w:rsid w:val="0030542A"/>
    <w:rsid w:val="00306D96"/>
    <w:rsid w:val="00310608"/>
    <w:rsid w:val="0031240D"/>
    <w:rsid w:val="003124D6"/>
    <w:rsid w:val="00312666"/>
    <w:rsid w:val="00312C3D"/>
    <w:rsid w:val="00313064"/>
    <w:rsid w:val="00314C50"/>
    <w:rsid w:val="003153D9"/>
    <w:rsid w:val="00315480"/>
    <w:rsid w:val="00315BFE"/>
    <w:rsid w:val="003173F5"/>
    <w:rsid w:val="00320355"/>
    <w:rsid w:val="003209DA"/>
    <w:rsid w:val="00322A1F"/>
    <w:rsid w:val="00322AE5"/>
    <w:rsid w:val="00323DD7"/>
    <w:rsid w:val="003256B4"/>
    <w:rsid w:val="00325993"/>
    <w:rsid w:val="00326906"/>
    <w:rsid w:val="00327CD9"/>
    <w:rsid w:val="00330583"/>
    <w:rsid w:val="00335A64"/>
    <w:rsid w:val="00335E6A"/>
    <w:rsid w:val="003364D9"/>
    <w:rsid w:val="003372C9"/>
    <w:rsid w:val="00337A13"/>
    <w:rsid w:val="00342618"/>
    <w:rsid w:val="00343B3D"/>
    <w:rsid w:val="003447C4"/>
    <w:rsid w:val="003464A7"/>
    <w:rsid w:val="00346F08"/>
    <w:rsid w:val="00350161"/>
    <w:rsid w:val="00350656"/>
    <w:rsid w:val="003512EC"/>
    <w:rsid w:val="00351D4F"/>
    <w:rsid w:val="00353D7A"/>
    <w:rsid w:val="003547F7"/>
    <w:rsid w:val="00354C0A"/>
    <w:rsid w:val="00355586"/>
    <w:rsid w:val="0035599E"/>
    <w:rsid w:val="00356BA0"/>
    <w:rsid w:val="00361AE2"/>
    <w:rsid w:val="003637C1"/>
    <w:rsid w:val="003716DB"/>
    <w:rsid w:val="00372991"/>
    <w:rsid w:val="0037369E"/>
    <w:rsid w:val="003738EA"/>
    <w:rsid w:val="00373B77"/>
    <w:rsid w:val="003747A5"/>
    <w:rsid w:val="003747CE"/>
    <w:rsid w:val="003772E9"/>
    <w:rsid w:val="0037789A"/>
    <w:rsid w:val="003809B6"/>
    <w:rsid w:val="00381EF8"/>
    <w:rsid w:val="003830E1"/>
    <w:rsid w:val="003842BD"/>
    <w:rsid w:val="00385517"/>
    <w:rsid w:val="003857B6"/>
    <w:rsid w:val="00387725"/>
    <w:rsid w:val="00390F33"/>
    <w:rsid w:val="00391809"/>
    <w:rsid w:val="0039322B"/>
    <w:rsid w:val="00394F9D"/>
    <w:rsid w:val="0039544F"/>
    <w:rsid w:val="003960A8"/>
    <w:rsid w:val="003962D7"/>
    <w:rsid w:val="003966DF"/>
    <w:rsid w:val="003969D4"/>
    <w:rsid w:val="00397885"/>
    <w:rsid w:val="00397901"/>
    <w:rsid w:val="003A012F"/>
    <w:rsid w:val="003A2E1C"/>
    <w:rsid w:val="003A37EA"/>
    <w:rsid w:val="003A3D40"/>
    <w:rsid w:val="003A4CF6"/>
    <w:rsid w:val="003A6178"/>
    <w:rsid w:val="003A6706"/>
    <w:rsid w:val="003A70E6"/>
    <w:rsid w:val="003A7CA2"/>
    <w:rsid w:val="003A7E90"/>
    <w:rsid w:val="003B13BA"/>
    <w:rsid w:val="003B16A4"/>
    <w:rsid w:val="003B3D18"/>
    <w:rsid w:val="003B45BB"/>
    <w:rsid w:val="003B60A8"/>
    <w:rsid w:val="003B68C1"/>
    <w:rsid w:val="003B69F8"/>
    <w:rsid w:val="003B7AFA"/>
    <w:rsid w:val="003C4396"/>
    <w:rsid w:val="003C4910"/>
    <w:rsid w:val="003C4923"/>
    <w:rsid w:val="003C7A17"/>
    <w:rsid w:val="003D03B9"/>
    <w:rsid w:val="003D4177"/>
    <w:rsid w:val="003D62A0"/>
    <w:rsid w:val="003D6C41"/>
    <w:rsid w:val="003D7D98"/>
    <w:rsid w:val="003E0D54"/>
    <w:rsid w:val="003E0EA8"/>
    <w:rsid w:val="003E2FC3"/>
    <w:rsid w:val="003E53AC"/>
    <w:rsid w:val="003E6E60"/>
    <w:rsid w:val="003E7DCE"/>
    <w:rsid w:val="003E7E54"/>
    <w:rsid w:val="003F05DD"/>
    <w:rsid w:val="003F0AE4"/>
    <w:rsid w:val="003F1C10"/>
    <w:rsid w:val="003F2E88"/>
    <w:rsid w:val="003F35D4"/>
    <w:rsid w:val="003F4304"/>
    <w:rsid w:val="003F75CA"/>
    <w:rsid w:val="003F7BD4"/>
    <w:rsid w:val="00400863"/>
    <w:rsid w:val="0040090C"/>
    <w:rsid w:val="00400A96"/>
    <w:rsid w:val="004011A8"/>
    <w:rsid w:val="00401242"/>
    <w:rsid w:val="0040140B"/>
    <w:rsid w:val="004044CF"/>
    <w:rsid w:val="00404B82"/>
    <w:rsid w:val="00404FD6"/>
    <w:rsid w:val="004054E8"/>
    <w:rsid w:val="00405702"/>
    <w:rsid w:val="00405D26"/>
    <w:rsid w:val="00405F4A"/>
    <w:rsid w:val="004070B8"/>
    <w:rsid w:val="004118D0"/>
    <w:rsid w:val="00411AC9"/>
    <w:rsid w:val="004137E0"/>
    <w:rsid w:val="004143FE"/>
    <w:rsid w:val="0041483C"/>
    <w:rsid w:val="00414D45"/>
    <w:rsid w:val="00417021"/>
    <w:rsid w:val="00417ACA"/>
    <w:rsid w:val="00421227"/>
    <w:rsid w:val="00421F8B"/>
    <w:rsid w:val="0042291D"/>
    <w:rsid w:val="00424AF2"/>
    <w:rsid w:val="00424C57"/>
    <w:rsid w:val="0042577E"/>
    <w:rsid w:val="00425B30"/>
    <w:rsid w:val="00425FAC"/>
    <w:rsid w:val="00427361"/>
    <w:rsid w:val="00427373"/>
    <w:rsid w:val="00427E07"/>
    <w:rsid w:val="004303C4"/>
    <w:rsid w:val="004306DE"/>
    <w:rsid w:val="00430765"/>
    <w:rsid w:val="00431FC3"/>
    <w:rsid w:val="00432F75"/>
    <w:rsid w:val="00434B7B"/>
    <w:rsid w:val="00435AE0"/>
    <w:rsid w:val="00436148"/>
    <w:rsid w:val="00437A77"/>
    <w:rsid w:val="00440A11"/>
    <w:rsid w:val="00440CA4"/>
    <w:rsid w:val="0044101E"/>
    <w:rsid w:val="00442960"/>
    <w:rsid w:val="00444E93"/>
    <w:rsid w:val="0044543F"/>
    <w:rsid w:val="00445DFA"/>
    <w:rsid w:val="0044717B"/>
    <w:rsid w:val="004476DF"/>
    <w:rsid w:val="0045076F"/>
    <w:rsid w:val="00450A3E"/>
    <w:rsid w:val="00451338"/>
    <w:rsid w:val="00451A8E"/>
    <w:rsid w:val="00452311"/>
    <w:rsid w:val="00452F35"/>
    <w:rsid w:val="00455402"/>
    <w:rsid w:val="00457D16"/>
    <w:rsid w:val="00462C09"/>
    <w:rsid w:val="00464551"/>
    <w:rsid w:val="004646FA"/>
    <w:rsid w:val="00465A4A"/>
    <w:rsid w:val="00466C1D"/>
    <w:rsid w:val="00466DF7"/>
    <w:rsid w:val="00467CD7"/>
    <w:rsid w:val="0047396A"/>
    <w:rsid w:val="00474387"/>
    <w:rsid w:val="00474EEB"/>
    <w:rsid w:val="00475348"/>
    <w:rsid w:val="004760A9"/>
    <w:rsid w:val="00476DD5"/>
    <w:rsid w:val="0047739C"/>
    <w:rsid w:val="004774CD"/>
    <w:rsid w:val="00480299"/>
    <w:rsid w:val="00480316"/>
    <w:rsid w:val="00480505"/>
    <w:rsid w:val="00481DB1"/>
    <w:rsid w:val="00482062"/>
    <w:rsid w:val="00484720"/>
    <w:rsid w:val="00485303"/>
    <w:rsid w:val="0048732F"/>
    <w:rsid w:val="00490132"/>
    <w:rsid w:val="00490D1D"/>
    <w:rsid w:val="00491C7B"/>
    <w:rsid w:val="0049286E"/>
    <w:rsid w:val="004935F8"/>
    <w:rsid w:val="00493995"/>
    <w:rsid w:val="00493E93"/>
    <w:rsid w:val="0049434D"/>
    <w:rsid w:val="00494424"/>
    <w:rsid w:val="00495CF5"/>
    <w:rsid w:val="0049739D"/>
    <w:rsid w:val="00497EED"/>
    <w:rsid w:val="004A26C9"/>
    <w:rsid w:val="004A47CF"/>
    <w:rsid w:val="004A546E"/>
    <w:rsid w:val="004A7895"/>
    <w:rsid w:val="004B024A"/>
    <w:rsid w:val="004B22E2"/>
    <w:rsid w:val="004B270A"/>
    <w:rsid w:val="004B3473"/>
    <w:rsid w:val="004B3B46"/>
    <w:rsid w:val="004B5C58"/>
    <w:rsid w:val="004B67DB"/>
    <w:rsid w:val="004B76D8"/>
    <w:rsid w:val="004C07B6"/>
    <w:rsid w:val="004C07B7"/>
    <w:rsid w:val="004C0E52"/>
    <w:rsid w:val="004C1AEE"/>
    <w:rsid w:val="004C3306"/>
    <w:rsid w:val="004C40FE"/>
    <w:rsid w:val="004C4913"/>
    <w:rsid w:val="004C498C"/>
    <w:rsid w:val="004C4DDF"/>
    <w:rsid w:val="004C7BF1"/>
    <w:rsid w:val="004C7D12"/>
    <w:rsid w:val="004D0876"/>
    <w:rsid w:val="004D29B7"/>
    <w:rsid w:val="004D4286"/>
    <w:rsid w:val="004D4FAB"/>
    <w:rsid w:val="004D51F1"/>
    <w:rsid w:val="004D5FAB"/>
    <w:rsid w:val="004D6F95"/>
    <w:rsid w:val="004D7A53"/>
    <w:rsid w:val="004E0E13"/>
    <w:rsid w:val="004E3B82"/>
    <w:rsid w:val="004E45A6"/>
    <w:rsid w:val="004E6F7D"/>
    <w:rsid w:val="004E7ACD"/>
    <w:rsid w:val="004F030A"/>
    <w:rsid w:val="004F2A71"/>
    <w:rsid w:val="004F3116"/>
    <w:rsid w:val="004F3AE0"/>
    <w:rsid w:val="004F3AF5"/>
    <w:rsid w:val="004F57BA"/>
    <w:rsid w:val="004F63EF"/>
    <w:rsid w:val="004F717B"/>
    <w:rsid w:val="004F77F5"/>
    <w:rsid w:val="004F7B34"/>
    <w:rsid w:val="00500D54"/>
    <w:rsid w:val="00501C41"/>
    <w:rsid w:val="00501E69"/>
    <w:rsid w:val="005031AC"/>
    <w:rsid w:val="0050326C"/>
    <w:rsid w:val="0050345A"/>
    <w:rsid w:val="00503D0D"/>
    <w:rsid w:val="005040EF"/>
    <w:rsid w:val="0050574F"/>
    <w:rsid w:val="005059B0"/>
    <w:rsid w:val="005062D4"/>
    <w:rsid w:val="00507679"/>
    <w:rsid w:val="005078E7"/>
    <w:rsid w:val="00507B40"/>
    <w:rsid w:val="00507D74"/>
    <w:rsid w:val="00507E19"/>
    <w:rsid w:val="00514AE6"/>
    <w:rsid w:val="00515391"/>
    <w:rsid w:val="0051698C"/>
    <w:rsid w:val="00521EE0"/>
    <w:rsid w:val="0052319A"/>
    <w:rsid w:val="0052449D"/>
    <w:rsid w:val="00524C37"/>
    <w:rsid w:val="005251DD"/>
    <w:rsid w:val="00525C28"/>
    <w:rsid w:val="00525F84"/>
    <w:rsid w:val="005308C0"/>
    <w:rsid w:val="005310B5"/>
    <w:rsid w:val="0053391B"/>
    <w:rsid w:val="00533C4F"/>
    <w:rsid w:val="00533D33"/>
    <w:rsid w:val="00534397"/>
    <w:rsid w:val="005344CB"/>
    <w:rsid w:val="00534C63"/>
    <w:rsid w:val="005358C1"/>
    <w:rsid w:val="00536489"/>
    <w:rsid w:val="00536D64"/>
    <w:rsid w:val="005373F5"/>
    <w:rsid w:val="00541AD9"/>
    <w:rsid w:val="00542A90"/>
    <w:rsid w:val="005431C9"/>
    <w:rsid w:val="00543875"/>
    <w:rsid w:val="00543F67"/>
    <w:rsid w:val="00544380"/>
    <w:rsid w:val="005449CD"/>
    <w:rsid w:val="005467DD"/>
    <w:rsid w:val="0054711A"/>
    <w:rsid w:val="00553B1E"/>
    <w:rsid w:val="00554297"/>
    <w:rsid w:val="00554720"/>
    <w:rsid w:val="00554DFE"/>
    <w:rsid w:val="005561DF"/>
    <w:rsid w:val="00557A1B"/>
    <w:rsid w:val="00557FCF"/>
    <w:rsid w:val="00560582"/>
    <w:rsid w:val="00560961"/>
    <w:rsid w:val="0056143D"/>
    <w:rsid w:val="00561A21"/>
    <w:rsid w:val="005714D1"/>
    <w:rsid w:val="0057261D"/>
    <w:rsid w:val="0057277D"/>
    <w:rsid w:val="00573820"/>
    <w:rsid w:val="00573A83"/>
    <w:rsid w:val="0057425F"/>
    <w:rsid w:val="00574664"/>
    <w:rsid w:val="005817FA"/>
    <w:rsid w:val="00581CC8"/>
    <w:rsid w:val="005821DC"/>
    <w:rsid w:val="00582206"/>
    <w:rsid w:val="00582EA5"/>
    <w:rsid w:val="005856BC"/>
    <w:rsid w:val="005903EA"/>
    <w:rsid w:val="00590D24"/>
    <w:rsid w:val="00593DEB"/>
    <w:rsid w:val="00593EFA"/>
    <w:rsid w:val="00595C16"/>
    <w:rsid w:val="00597451"/>
    <w:rsid w:val="00597B1E"/>
    <w:rsid w:val="005A0323"/>
    <w:rsid w:val="005A2585"/>
    <w:rsid w:val="005A263F"/>
    <w:rsid w:val="005A38DB"/>
    <w:rsid w:val="005A4644"/>
    <w:rsid w:val="005A5E35"/>
    <w:rsid w:val="005A6037"/>
    <w:rsid w:val="005A7024"/>
    <w:rsid w:val="005B2BC6"/>
    <w:rsid w:val="005B6CC1"/>
    <w:rsid w:val="005B74BD"/>
    <w:rsid w:val="005B764E"/>
    <w:rsid w:val="005C05FE"/>
    <w:rsid w:val="005C1573"/>
    <w:rsid w:val="005C3186"/>
    <w:rsid w:val="005C4B09"/>
    <w:rsid w:val="005C4F2C"/>
    <w:rsid w:val="005C5046"/>
    <w:rsid w:val="005C59D3"/>
    <w:rsid w:val="005C6296"/>
    <w:rsid w:val="005C68A4"/>
    <w:rsid w:val="005C6FAA"/>
    <w:rsid w:val="005C76A3"/>
    <w:rsid w:val="005C7840"/>
    <w:rsid w:val="005C795B"/>
    <w:rsid w:val="005D0D94"/>
    <w:rsid w:val="005D3977"/>
    <w:rsid w:val="005D406F"/>
    <w:rsid w:val="005D4B0B"/>
    <w:rsid w:val="005D4B88"/>
    <w:rsid w:val="005D61C6"/>
    <w:rsid w:val="005E030C"/>
    <w:rsid w:val="005E0593"/>
    <w:rsid w:val="005E11F9"/>
    <w:rsid w:val="005E19CE"/>
    <w:rsid w:val="005E1E69"/>
    <w:rsid w:val="005E21C1"/>
    <w:rsid w:val="005E262F"/>
    <w:rsid w:val="005E2DC3"/>
    <w:rsid w:val="005E3498"/>
    <w:rsid w:val="005E4825"/>
    <w:rsid w:val="005E4A2F"/>
    <w:rsid w:val="005E4CF8"/>
    <w:rsid w:val="005E576A"/>
    <w:rsid w:val="005E61AF"/>
    <w:rsid w:val="005E6C7D"/>
    <w:rsid w:val="005E760F"/>
    <w:rsid w:val="005E7D0C"/>
    <w:rsid w:val="005F037E"/>
    <w:rsid w:val="005F0AEF"/>
    <w:rsid w:val="005F27C8"/>
    <w:rsid w:val="005F2CF3"/>
    <w:rsid w:val="005F2FA3"/>
    <w:rsid w:val="005F4031"/>
    <w:rsid w:val="005F5C06"/>
    <w:rsid w:val="006001AB"/>
    <w:rsid w:val="006006AB"/>
    <w:rsid w:val="00602D53"/>
    <w:rsid w:val="0060304F"/>
    <w:rsid w:val="006034D7"/>
    <w:rsid w:val="00603FD0"/>
    <w:rsid w:val="0060486A"/>
    <w:rsid w:val="00604C9A"/>
    <w:rsid w:val="006067E8"/>
    <w:rsid w:val="0060768C"/>
    <w:rsid w:val="00607D4C"/>
    <w:rsid w:val="0061007C"/>
    <w:rsid w:val="00611553"/>
    <w:rsid w:val="00611610"/>
    <w:rsid w:val="006119D3"/>
    <w:rsid w:val="00612B17"/>
    <w:rsid w:val="00612DDA"/>
    <w:rsid w:val="00614A10"/>
    <w:rsid w:val="00615738"/>
    <w:rsid w:val="00617A0F"/>
    <w:rsid w:val="00617A12"/>
    <w:rsid w:val="006230DF"/>
    <w:rsid w:val="00623346"/>
    <w:rsid w:val="00623553"/>
    <w:rsid w:val="0062403D"/>
    <w:rsid w:val="00626F7D"/>
    <w:rsid w:val="0062740F"/>
    <w:rsid w:val="00630392"/>
    <w:rsid w:val="00630431"/>
    <w:rsid w:val="00631636"/>
    <w:rsid w:val="00632801"/>
    <w:rsid w:val="00632ED0"/>
    <w:rsid w:val="0063318A"/>
    <w:rsid w:val="006338D7"/>
    <w:rsid w:val="0063414B"/>
    <w:rsid w:val="0063510E"/>
    <w:rsid w:val="00635D0C"/>
    <w:rsid w:val="0063771A"/>
    <w:rsid w:val="00640B09"/>
    <w:rsid w:val="00644082"/>
    <w:rsid w:val="00644911"/>
    <w:rsid w:val="00644A12"/>
    <w:rsid w:val="0065056D"/>
    <w:rsid w:val="00650728"/>
    <w:rsid w:val="00650810"/>
    <w:rsid w:val="00652188"/>
    <w:rsid w:val="00653311"/>
    <w:rsid w:val="00653435"/>
    <w:rsid w:val="0065345F"/>
    <w:rsid w:val="00653DC6"/>
    <w:rsid w:val="00653F93"/>
    <w:rsid w:val="006549DA"/>
    <w:rsid w:val="00656441"/>
    <w:rsid w:val="00656777"/>
    <w:rsid w:val="006629AA"/>
    <w:rsid w:val="0066344A"/>
    <w:rsid w:val="00664AC8"/>
    <w:rsid w:val="006654E3"/>
    <w:rsid w:val="00665A7E"/>
    <w:rsid w:val="006668AC"/>
    <w:rsid w:val="00666DD2"/>
    <w:rsid w:val="006674A1"/>
    <w:rsid w:val="00667920"/>
    <w:rsid w:val="00670854"/>
    <w:rsid w:val="00671073"/>
    <w:rsid w:val="006722F9"/>
    <w:rsid w:val="00672319"/>
    <w:rsid w:val="00673AF8"/>
    <w:rsid w:val="00675358"/>
    <w:rsid w:val="006753FB"/>
    <w:rsid w:val="00675E02"/>
    <w:rsid w:val="00680198"/>
    <w:rsid w:val="006809FE"/>
    <w:rsid w:val="00680B45"/>
    <w:rsid w:val="00680C7D"/>
    <w:rsid w:val="00682267"/>
    <w:rsid w:val="00682D67"/>
    <w:rsid w:val="0068306D"/>
    <w:rsid w:val="00686997"/>
    <w:rsid w:val="00687B2A"/>
    <w:rsid w:val="00687CD4"/>
    <w:rsid w:val="00687D2A"/>
    <w:rsid w:val="00690724"/>
    <w:rsid w:val="006909CC"/>
    <w:rsid w:val="00692EFF"/>
    <w:rsid w:val="0069314A"/>
    <w:rsid w:val="006941C2"/>
    <w:rsid w:val="00695741"/>
    <w:rsid w:val="00695843"/>
    <w:rsid w:val="00696469"/>
    <w:rsid w:val="00696825"/>
    <w:rsid w:val="0069780C"/>
    <w:rsid w:val="006A2C86"/>
    <w:rsid w:val="006A2FD0"/>
    <w:rsid w:val="006A62DB"/>
    <w:rsid w:val="006B1169"/>
    <w:rsid w:val="006B28EB"/>
    <w:rsid w:val="006B2FA3"/>
    <w:rsid w:val="006B32F1"/>
    <w:rsid w:val="006B3FFD"/>
    <w:rsid w:val="006B4763"/>
    <w:rsid w:val="006B7E85"/>
    <w:rsid w:val="006C0037"/>
    <w:rsid w:val="006C1233"/>
    <w:rsid w:val="006C12DD"/>
    <w:rsid w:val="006C20B8"/>
    <w:rsid w:val="006C20CD"/>
    <w:rsid w:val="006C3B80"/>
    <w:rsid w:val="006C4C55"/>
    <w:rsid w:val="006C6064"/>
    <w:rsid w:val="006C701A"/>
    <w:rsid w:val="006D1CC0"/>
    <w:rsid w:val="006D2822"/>
    <w:rsid w:val="006D2971"/>
    <w:rsid w:val="006D2D5B"/>
    <w:rsid w:val="006D2E8D"/>
    <w:rsid w:val="006D408E"/>
    <w:rsid w:val="006D4104"/>
    <w:rsid w:val="006D4EB6"/>
    <w:rsid w:val="006D5AC8"/>
    <w:rsid w:val="006D65EC"/>
    <w:rsid w:val="006D7FB5"/>
    <w:rsid w:val="006E1529"/>
    <w:rsid w:val="006E237E"/>
    <w:rsid w:val="006E291D"/>
    <w:rsid w:val="006E2BAF"/>
    <w:rsid w:val="006E2CD6"/>
    <w:rsid w:val="006E3395"/>
    <w:rsid w:val="006E3683"/>
    <w:rsid w:val="006E45A2"/>
    <w:rsid w:val="006E4940"/>
    <w:rsid w:val="006E59B2"/>
    <w:rsid w:val="006E5B79"/>
    <w:rsid w:val="006F18C5"/>
    <w:rsid w:val="006F1A7E"/>
    <w:rsid w:val="006F2644"/>
    <w:rsid w:val="006F2763"/>
    <w:rsid w:val="006F27DD"/>
    <w:rsid w:val="006F3EC1"/>
    <w:rsid w:val="006F5399"/>
    <w:rsid w:val="006F688F"/>
    <w:rsid w:val="006F6EFE"/>
    <w:rsid w:val="00700A05"/>
    <w:rsid w:val="007012B5"/>
    <w:rsid w:val="00701B07"/>
    <w:rsid w:val="007026A0"/>
    <w:rsid w:val="00707170"/>
    <w:rsid w:val="007075A5"/>
    <w:rsid w:val="00707C8B"/>
    <w:rsid w:val="00710097"/>
    <w:rsid w:val="0071152E"/>
    <w:rsid w:val="0071196A"/>
    <w:rsid w:val="007123DC"/>
    <w:rsid w:val="0071273F"/>
    <w:rsid w:val="00712956"/>
    <w:rsid w:val="00713074"/>
    <w:rsid w:val="00713CB8"/>
    <w:rsid w:val="0071445B"/>
    <w:rsid w:val="00714996"/>
    <w:rsid w:val="00714C1C"/>
    <w:rsid w:val="007151D3"/>
    <w:rsid w:val="00715A51"/>
    <w:rsid w:val="007165B6"/>
    <w:rsid w:val="0071697C"/>
    <w:rsid w:val="007171C2"/>
    <w:rsid w:val="0072154E"/>
    <w:rsid w:val="00721632"/>
    <w:rsid w:val="007216C0"/>
    <w:rsid w:val="00721ED4"/>
    <w:rsid w:val="00723284"/>
    <w:rsid w:val="00723808"/>
    <w:rsid w:val="00724585"/>
    <w:rsid w:val="00724596"/>
    <w:rsid w:val="007249B6"/>
    <w:rsid w:val="00724DD9"/>
    <w:rsid w:val="0072578D"/>
    <w:rsid w:val="00731BC7"/>
    <w:rsid w:val="00736B76"/>
    <w:rsid w:val="00736F9A"/>
    <w:rsid w:val="00741019"/>
    <w:rsid w:val="007416C7"/>
    <w:rsid w:val="00741BD3"/>
    <w:rsid w:val="0074407E"/>
    <w:rsid w:val="00744DE0"/>
    <w:rsid w:val="00746175"/>
    <w:rsid w:val="00746200"/>
    <w:rsid w:val="00746511"/>
    <w:rsid w:val="00746B07"/>
    <w:rsid w:val="00750908"/>
    <w:rsid w:val="00751DAB"/>
    <w:rsid w:val="00752D47"/>
    <w:rsid w:val="007534EF"/>
    <w:rsid w:val="00753C8A"/>
    <w:rsid w:val="00754539"/>
    <w:rsid w:val="007547DD"/>
    <w:rsid w:val="00756397"/>
    <w:rsid w:val="007567FF"/>
    <w:rsid w:val="00757223"/>
    <w:rsid w:val="007607B4"/>
    <w:rsid w:val="007621C9"/>
    <w:rsid w:val="00762907"/>
    <w:rsid w:val="007631E2"/>
    <w:rsid w:val="00763392"/>
    <w:rsid w:val="007651EF"/>
    <w:rsid w:val="00766F7A"/>
    <w:rsid w:val="00767D11"/>
    <w:rsid w:val="00770281"/>
    <w:rsid w:val="00770F0B"/>
    <w:rsid w:val="00771FBA"/>
    <w:rsid w:val="007749D9"/>
    <w:rsid w:val="007779B5"/>
    <w:rsid w:val="007779F0"/>
    <w:rsid w:val="00782837"/>
    <w:rsid w:val="007828B0"/>
    <w:rsid w:val="007828F5"/>
    <w:rsid w:val="0078305E"/>
    <w:rsid w:val="0078334F"/>
    <w:rsid w:val="00783779"/>
    <w:rsid w:val="00784C49"/>
    <w:rsid w:val="0078508E"/>
    <w:rsid w:val="00785BC8"/>
    <w:rsid w:val="007863BD"/>
    <w:rsid w:val="00786437"/>
    <w:rsid w:val="00786C73"/>
    <w:rsid w:val="007879AB"/>
    <w:rsid w:val="00791019"/>
    <w:rsid w:val="00791122"/>
    <w:rsid w:val="0079154F"/>
    <w:rsid w:val="00791D8C"/>
    <w:rsid w:val="0079357D"/>
    <w:rsid w:val="00793C4D"/>
    <w:rsid w:val="00793C4F"/>
    <w:rsid w:val="00793DC0"/>
    <w:rsid w:val="00794694"/>
    <w:rsid w:val="00794B7C"/>
    <w:rsid w:val="00794F69"/>
    <w:rsid w:val="0079526F"/>
    <w:rsid w:val="00797F05"/>
    <w:rsid w:val="007A0F69"/>
    <w:rsid w:val="007A1095"/>
    <w:rsid w:val="007A3055"/>
    <w:rsid w:val="007A588A"/>
    <w:rsid w:val="007A779E"/>
    <w:rsid w:val="007A7BD5"/>
    <w:rsid w:val="007B141D"/>
    <w:rsid w:val="007C1291"/>
    <w:rsid w:val="007C1982"/>
    <w:rsid w:val="007C1B07"/>
    <w:rsid w:val="007C2C75"/>
    <w:rsid w:val="007C421C"/>
    <w:rsid w:val="007C4FBC"/>
    <w:rsid w:val="007C5000"/>
    <w:rsid w:val="007C557F"/>
    <w:rsid w:val="007C7136"/>
    <w:rsid w:val="007C72C3"/>
    <w:rsid w:val="007C75C5"/>
    <w:rsid w:val="007C7D36"/>
    <w:rsid w:val="007D005A"/>
    <w:rsid w:val="007D0908"/>
    <w:rsid w:val="007D16A2"/>
    <w:rsid w:val="007D1EB0"/>
    <w:rsid w:val="007D24F5"/>
    <w:rsid w:val="007D2CC2"/>
    <w:rsid w:val="007D2EDE"/>
    <w:rsid w:val="007D346C"/>
    <w:rsid w:val="007D3CDA"/>
    <w:rsid w:val="007D6582"/>
    <w:rsid w:val="007D753F"/>
    <w:rsid w:val="007D75CA"/>
    <w:rsid w:val="007D7F34"/>
    <w:rsid w:val="007E00BF"/>
    <w:rsid w:val="007E1076"/>
    <w:rsid w:val="007E2599"/>
    <w:rsid w:val="007E3038"/>
    <w:rsid w:val="007E443E"/>
    <w:rsid w:val="007E521D"/>
    <w:rsid w:val="007F0689"/>
    <w:rsid w:val="007F1200"/>
    <w:rsid w:val="007F330D"/>
    <w:rsid w:val="007F33EB"/>
    <w:rsid w:val="007F54B2"/>
    <w:rsid w:val="007F6C05"/>
    <w:rsid w:val="007F7766"/>
    <w:rsid w:val="007F7E03"/>
    <w:rsid w:val="00800011"/>
    <w:rsid w:val="0080014C"/>
    <w:rsid w:val="008007BE"/>
    <w:rsid w:val="00800893"/>
    <w:rsid w:val="00801BC6"/>
    <w:rsid w:val="00803EA5"/>
    <w:rsid w:val="00804430"/>
    <w:rsid w:val="00805FDA"/>
    <w:rsid w:val="0080678E"/>
    <w:rsid w:val="00807801"/>
    <w:rsid w:val="00810D94"/>
    <w:rsid w:val="00813C76"/>
    <w:rsid w:val="00814E37"/>
    <w:rsid w:val="00815A2B"/>
    <w:rsid w:val="008177DE"/>
    <w:rsid w:val="00820D4B"/>
    <w:rsid w:val="00821444"/>
    <w:rsid w:val="00822A0C"/>
    <w:rsid w:val="00823896"/>
    <w:rsid w:val="00823A10"/>
    <w:rsid w:val="00823A6E"/>
    <w:rsid w:val="00823B3D"/>
    <w:rsid w:val="00824561"/>
    <w:rsid w:val="00824758"/>
    <w:rsid w:val="00824B1B"/>
    <w:rsid w:val="0082562F"/>
    <w:rsid w:val="00826758"/>
    <w:rsid w:val="00826983"/>
    <w:rsid w:val="0082778F"/>
    <w:rsid w:val="0082786A"/>
    <w:rsid w:val="00830AF2"/>
    <w:rsid w:val="0083190C"/>
    <w:rsid w:val="00831D67"/>
    <w:rsid w:val="00834313"/>
    <w:rsid w:val="00834625"/>
    <w:rsid w:val="00835581"/>
    <w:rsid w:val="00836E46"/>
    <w:rsid w:val="00841E4E"/>
    <w:rsid w:val="008432A7"/>
    <w:rsid w:val="00844E91"/>
    <w:rsid w:val="00845901"/>
    <w:rsid w:val="00856910"/>
    <w:rsid w:val="008611D9"/>
    <w:rsid w:val="00861659"/>
    <w:rsid w:val="008618AC"/>
    <w:rsid w:val="008622F5"/>
    <w:rsid w:val="0086459B"/>
    <w:rsid w:val="00864D6E"/>
    <w:rsid w:val="00864DFD"/>
    <w:rsid w:val="008711B9"/>
    <w:rsid w:val="008719A8"/>
    <w:rsid w:val="00871D77"/>
    <w:rsid w:val="0087280D"/>
    <w:rsid w:val="00872F22"/>
    <w:rsid w:val="0087393A"/>
    <w:rsid w:val="00873BAF"/>
    <w:rsid w:val="0087565B"/>
    <w:rsid w:val="00875B82"/>
    <w:rsid w:val="00875CA8"/>
    <w:rsid w:val="0087655D"/>
    <w:rsid w:val="0087704B"/>
    <w:rsid w:val="008777B9"/>
    <w:rsid w:val="00877C8A"/>
    <w:rsid w:val="0088080C"/>
    <w:rsid w:val="00880866"/>
    <w:rsid w:val="00881C99"/>
    <w:rsid w:val="00882150"/>
    <w:rsid w:val="008836E1"/>
    <w:rsid w:val="00885354"/>
    <w:rsid w:val="0089027D"/>
    <w:rsid w:val="00895127"/>
    <w:rsid w:val="00895A21"/>
    <w:rsid w:val="00895CEF"/>
    <w:rsid w:val="00896579"/>
    <w:rsid w:val="008969B1"/>
    <w:rsid w:val="00896CCC"/>
    <w:rsid w:val="00897A3F"/>
    <w:rsid w:val="008A00E0"/>
    <w:rsid w:val="008A02EE"/>
    <w:rsid w:val="008A0615"/>
    <w:rsid w:val="008A179D"/>
    <w:rsid w:val="008A18C5"/>
    <w:rsid w:val="008A368D"/>
    <w:rsid w:val="008A453D"/>
    <w:rsid w:val="008A630A"/>
    <w:rsid w:val="008A6B2E"/>
    <w:rsid w:val="008B0B1C"/>
    <w:rsid w:val="008B3C2D"/>
    <w:rsid w:val="008B5B8F"/>
    <w:rsid w:val="008B5F48"/>
    <w:rsid w:val="008B6264"/>
    <w:rsid w:val="008B630A"/>
    <w:rsid w:val="008B6998"/>
    <w:rsid w:val="008B765B"/>
    <w:rsid w:val="008C0144"/>
    <w:rsid w:val="008C0C56"/>
    <w:rsid w:val="008C1890"/>
    <w:rsid w:val="008C6F34"/>
    <w:rsid w:val="008D0897"/>
    <w:rsid w:val="008D1C7D"/>
    <w:rsid w:val="008D3388"/>
    <w:rsid w:val="008D7D32"/>
    <w:rsid w:val="008E07EC"/>
    <w:rsid w:val="008E45E3"/>
    <w:rsid w:val="008E4667"/>
    <w:rsid w:val="008F4C71"/>
    <w:rsid w:val="0090130C"/>
    <w:rsid w:val="0090189C"/>
    <w:rsid w:val="00903E35"/>
    <w:rsid w:val="00904616"/>
    <w:rsid w:val="00906D9A"/>
    <w:rsid w:val="0090791F"/>
    <w:rsid w:val="00910FB5"/>
    <w:rsid w:val="00911884"/>
    <w:rsid w:val="00912172"/>
    <w:rsid w:val="00912673"/>
    <w:rsid w:val="00913B2F"/>
    <w:rsid w:val="00913E80"/>
    <w:rsid w:val="009147F4"/>
    <w:rsid w:val="00914F5A"/>
    <w:rsid w:val="009162C2"/>
    <w:rsid w:val="00916D9A"/>
    <w:rsid w:val="009171C8"/>
    <w:rsid w:val="00920E7C"/>
    <w:rsid w:val="00921E13"/>
    <w:rsid w:val="009234F7"/>
    <w:rsid w:val="00923772"/>
    <w:rsid w:val="009244A4"/>
    <w:rsid w:val="00925FF8"/>
    <w:rsid w:val="00926641"/>
    <w:rsid w:val="009272A9"/>
    <w:rsid w:val="00927B4F"/>
    <w:rsid w:val="00931598"/>
    <w:rsid w:val="00931EE0"/>
    <w:rsid w:val="00934004"/>
    <w:rsid w:val="00934496"/>
    <w:rsid w:val="009405C4"/>
    <w:rsid w:val="0094279D"/>
    <w:rsid w:val="009444F2"/>
    <w:rsid w:val="009448C6"/>
    <w:rsid w:val="00944D9C"/>
    <w:rsid w:val="00946CBD"/>
    <w:rsid w:val="00947192"/>
    <w:rsid w:val="009509DE"/>
    <w:rsid w:val="00950D7E"/>
    <w:rsid w:val="009510E8"/>
    <w:rsid w:val="009523BC"/>
    <w:rsid w:val="00952E2D"/>
    <w:rsid w:val="00953833"/>
    <w:rsid w:val="00953ABF"/>
    <w:rsid w:val="00955B00"/>
    <w:rsid w:val="00955E88"/>
    <w:rsid w:val="00961249"/>
    <w:rsid w:val="0096204A"/>
    <w:rsid w:val="00963297"/>
    <w:rsid w:val="00964593"/>
    <w:rsid w:val="0096476E"/>
    <w:rsid w:val="00966985"/>
    <w:rsid w:val="0096723C"/>
    <w:rsid w:val="0097092B"/>
    <w:rsid w:val="00970E3D"/>
    <w:rsid w:val="00974C32"/>
    <w:rsid w:val="00975C0B"/>
    <w:rsid w:val="00976270"/>
    <w:rsid w:val="00976EBD"/>
    <w:rsid w:val="00977E65"/>
    <w:rsid w:val="00981B8A"/>
    <w:rsid w:val="00983342"/>
    <w:rsid w:val="0098507A"/>
    <w:rsid w:val="00985229"/>
    <w:rsid w:val="00985383"/>
    <w:rsid w:val="00985EC5"/>
    <w:rsid w:val="00987445"/>
    <w:rsid w:val="009876FE"/>
    <w:rsid w:val="00990220"/>
    <w:rsid w:val="00991ADD"/>
    <w:rsid w:val="00991B88"/>
    <w:rsid w:val="00995FC1"/>
    <w:rsid w:val="00996F4D"/>
    <w:rsid w:val="00996FC4"/>
    <w:rsid w:val="00997181"/>
    <w:rsid w:val="009A1859"/>
    <w:rsid w:val="009A274C"/>
    <w:rsid w:val="009A471D"/>
    <w:rsid w:val="009A5474"/>
    <w:rsid w:val="009A551E"/>
    <w:rsid w:val="009A5DBF"/>
    <w:rsid w:val="009A6BAE"/>
    <w:rsid w:val="009A709F"/>
    <w:rsid w:val="009B0951"/>
    <w:rsid w:val="009B3A9D"/>
    <w:rsid w:val="009B645B"/>
    <w:rsid w:val="009B64F6"/>
    <w:rsid w:val="009B6632"/>
    <w:rsid w:val="009B7D78"/>
    <w:rsid w:val="009C0077"/>
    <w:rsid w:val="009C0519"/>
    <w:rsid w:val="009C0DDF"/>
    <w:rsid w:val="009C1508"/>
    <w:rsid w:val="009C1791"/>
    <w:rsid w:val="009C17F1"/>
    <w:rsid w:val="009C1AD4"/>
    <w:rsid w:val="009C2DD3"/>
    <w:rsid w:val="009C3DA8"/>
    <w:rsid w:val="009C51C8"/>
    <w:rsid w:val="009C732F"/>
    <w:rsid w:val="009C744F"/>
    <w:rsid w:val="009C75B2"/>
    <w:rsid w:val="009C75CE"/>
    <w:rsid w:val="009D0C0B"/>
    <w:rsid w:val="009D12F7"/>
    <w:rsid w:val="009D24FA"/>
    <w:rsid w:val="009D2FC4"/>
    <w:rsid w:val="009D35B2"/>
    <w:rsid w:val="009D3BDF"/>
    <w:rsid w:val="009D3D18"/>
    <w:rsid w:val="009D492E"/>
    <w:rsid w:val="009D7496"/>
    <w:rsid w:val="009E1485"/>
    <w:rsid w:val="009E167E"/>
    <w:rsid w:val="009E2021"/>
    <w:rsid w:val="009E213E"/>
    <w:rsid w:val="009E34C9"/>
    <w:rsid w:val="009E3BC9"/>
    <w:rsid w:val="009E53E2"/>
    <w:rsid w:val="009E540E"/>
    <w:rsid w:val="009E5488"/>
    <w:rsid w:val="009E59D3"/>
    <w:rsid w:val="009E5A3D"/>
    <w:rsid w:val="009E5E57"/>
    <w:rsid w:val="009E5F5C"/>
    <w:rsid w:val="009E7865"/>
    <w:rsid w:val="009F0167"/>
    <w:rsid w:val="009F13A2"/>
    <w:rsid w:val="009F28FC"/>
    <w:rsid w:val="009F38F0"/>
    <w:rsid w:val="009F3C79"/>
    <w:rsid w:val="009F4CFD"/>
    <w:rsid w:val="009F5429"/>
    <w:rsid w:val="009F5639"/>
    <w:rsid w:val="009F5773"/>
    <w:rsid w:val="009F5C2F"/>
    <w:rsid w:val="009F7385"/>
    <w:rsid w:val="00A017A8"/>
    <w:rsid w:val="00A02985"/>
    <w:rsid w:val="00A039A7"/>
    <w:rsid w:val="00A06E62"/>
    <w:rsid w:val="00A07D76"/>
    <w:rsid w:val="00A10B0D"/>
    <w:rsid w:val="00A11DBF"/>
    <w:rsid w:val="00A12B99"/>
    <w:rsid w:val="00A14878"/>
    <w:rsid w:val="00A1751D"/>
    <w:rsid w:val="00A20783"/>
    <w:rsid w:val="00A2350C"/>
    <w:rsid w:val="00A23787"/>
    <w:rsid w:val="00A24333"/>
    <w:rsid w:val="00A25ECC"/>
    <w:rsid w:val="00A30003"/>
    <w:rsid w:val="00A308FD"/>
    <w:rsid w:val="00A30CE3"/>
    <w:rsid w:val="00A31CBB"/>
    <w:rsid w:val="00A32622"/>
    <w:rsid w:val="00A32822"/>
    <w:rsid w:val="00A328D4"/>
    <w:rsid w:val="00A32C53"/>
    <w:rsid w:val="00A333A3"/>
    <w:rsid w:val="00A33548"/>
    <w:rsid w:val="00A34329"/>
    <w:rsid w:val="00A360ED"/>
    <w:rsid w:val="00A374D2"/>
    <w:rsid w:val="00A379B5"/>
    <w:rsid w:val="00A4148C"/>
    <w:rsid w:val="00A429FD"/>
    <w:rsid w:val="00A45253"/>
    <w:rsid w:val="00A4642F"/>
    <w:rsid w:val="00A50406"/>
    <w:rsid w:val="00A51EBA"/>
    <w:rsid w:val="00A51F02"/>
    <w:rsid w:val="00A51FCE"/>
    <w:rsid w:val="00A521DE"/>
    <w:rsid w:val="00A52490"/>
    <w:rsid w:val="00A5312A"/>
    <w:rsid w:val="00A5314B"/>
    <w:rsid w:val="00A53761"/>
    <w:rsid w:val="00A56443"/>
    <w:rsid w:val="00A567FD"/>
    <w:rsid w:val="00A571A7"/>
    <w:rsid w:val="00A5740C"/>
    <w:rsid w:val="00A616A9"/>
    <w:rsid w:val="00A6558C"/>
    <w:rsid w:val="00A65751"/>
    <w:rsid w:val="00A70916"/>
    <w:rsid w:val="00A72455"/>
    <w:rsid w:val="00A729DF"/>
    <w:rsid w:val="00A73C4D"/>
    <w:rsid w:val="00A74725"/>
    <w:rsid w:val="00A75971"/>
    <w:rsid w:val="00A77913"/>
    <w:rsid w:val="00A8002B"/>
    <w:rsid w:val="00A8036E"/>
    <w:rsid w:val="00A825F4"/>
    <w:rsid w:val="00A93755"/>
    <w:rsid w:val="00A94609"/>
    <w:rsid w:val="00A94997"/>
    <w:rsid w:val="00A950FA"/>
    <w:rsid w:val="00A97A66"/>
    <w:rsid w:val="00A97D17"/>
    <w:rsid w:val="00AA0ACC"/>
    <w:rsid w:val="00AA1268"/>
    <w:rsid w:val="00AA27F5"/>
    <w:rsid w:val="00AA2CEC"/>
    <w:rsid w:val="00AA39EA"/>
    <w:rsid w:val="00AA3A08"/>
    <w:rsid w:val="00AA4833"/>
    <w:rsid w:val="00AA492F"/>
    <w:rsid w:val="00AA4F38"/>
    <w:rsid w:val="00AA66CC"/>
    <w:rsid w:val="00AA7301"/>
    <w:rsid w:val="00AB0979"/>
    <w:rsid w:val="00AB1E25"/>
    <w:rsid w:val="00AB216A"/>
    <w:rsid w:val="00AB666C"/>
    <w:rsid w:val="00AB69CA"/>
    <w:rsid w:val="00AC13EC"/>
    <w:rsid w:val="00AC150C"/>
    <w:rsid w:val="00AC1950"/>
    <w:rsid w:val="00AC1C7B"/>
    <w:rsid w:val="00AC22A6"/>
    <w:rsid w:val="00AC27EF"/>
    <w:rsid w:val="00AC3F21"/>
    <w:rsid w:val="00AC5F2C"/>
    <w:rsid w:val="00AC69BF"/>
    <w:rsid w:val="00AD44D7"/>
    <w:rsid w:val="00AD4557"/>
    <w:rsid w:val="00AD5446"/>
    <w:rsid w:val="00AD55A0"/>
    <w:rsid w:val="00AD5D08"/>
    <w:rsid w:val="00AD649D"/>
    <w:rsid w:val="00AD768E"/>
    <w:rsid w:val="00AD7A81"/>
    <w:rsid w:val="00AD7A88"/>
    <w:rsid w:val="00AE077E"/>
    <w:rsid w:val="00AE59FB"/>
    <w:rsid w:val="00AE758C"/>
    <w:rsid w:val="00AE7939"/>
    <w:rsid w:val="00AE7D21"/>
    <w:rsid w:val="00AF0D37"/>
    <w:rsid w:val="00AF0F89"/>
    <w:rsid w:val="00AF11F1"/>
    <w:rsid w:val="00AF264A"/>
    <w:rsid w:val="00AF4130"/>
    <w:rsid w:val="00AF50EA"/>
    <w:rsid w:val="00AF6855"/>
    <w:rsid w:val="00AF6D16"/>
    <w:rsid w:val="00AF6E2D"/>
    <w:rsid w:val="00AF7C47"/>
    <w:rsid w:val="00AF7F2B"/>
    <w:rsid w:val="00B001BD"/>
    <w:rsid w:val="00B0043E"/>
    <w:rsid w:val="00B00C2D"/>
    <w:rsid w:val="00B0260E"/>
    <w:rsid w:val="00B02E71"/>
    <w:rsid w:val="00B049DF"/>
    <w:rsid w:val="00B0669C"/>
    <w:rsid w:val="00B10DB4"/>
    <w:rsid w:val="00B113B3"/>
    <w:rsid w:val="00B13EBE"/>
    <w:rsid w:val="00B14683"/>
    <w:rsid w:val="00B147A3"/>
    <w:rsid w:val="00B14C8A"/>
    <w:rsid w:val="00B1632B"/>
    <w:rsid w:val="00B176BD"/>
    <w:rsid w:val="00B20122"/>
    <w:rsid w:val="00B2073D"/>
    <w:rsid w:val="00B20E48"/>
    <w:rsid w:val="00B20FC7"/>
    <w:rsid w:val="00B21CFB"/>
    <w:rsid w:val="00B21D33"/>
    <w:rsid w:val="00B22902"/>
    <w:rsid w:val="00B24490"/>
    <w:rsid w:val="00B24CAB"/>
    <w:rsid w:val="00B26CC9"/>
    <w:rsid w:val="00B27240"/>
    <w:rsid w:val="00B3068F"/>
    <w:rsid w:val="00B33D27"/>
    <w:rsid w:val="00B33E52"/>
    <w:rsid w:val="00B346D3"/>
    <w:rsid w:val="00B36059"/>
    <w:rsid w:val="00B47B55"/>
    <w:rsid w:val="00B50235"/>
    <w:rsid w:val="00B51FCD"/>
    <w:rsid w:val="00B534B7"/>
    <w:rsid w:val="00B53D75"/>
    <w:rsid w:val="00B54149"/>
    <w:rsid w:val="00B54BEE"/>
    <w:rsid w:val="00B56F26"/>
    <w:rsid w:val="00B60D82"/>
    <w:rsid w:val="00B623F2"/>
    <w:rsid w:val="00B62E63"/>
    <w:rsid w:val="00B63903"/>
    <w:rsid w:val="00B654D9"/>
    <w:rsid w:val="00B65790"/>
    <w:rsid w:val="00B71C46"/>
    <w:rsid w:val="00B73A34"/>
    <w:rsid w:val="00B73A39"/>
    <w:rsid w:val="00B748B2"/>
    <w:rsid w:val="00B77097"/>
    <w:rsid w:val="00B77A33"/>
    <w:rsid w:val="00B8126B"/>
    <w:rsid w:val="00B81F97"/>
    <w:rsid w:val="00B81FDF"/>
    <w:rsid w:val="00B826B9"/>
    <w:rsid w:val="00B82782"/>
    <w:rsid w:val="00B83240"/>
    <w:rsid w:val="00B84A85"/>
    <w:rsid w:val="00B85FBA"/>
    <w:rsid w:val="00B876AA"/>
    <w:rsid w:val="00B90446"/>
    <w:rsid w:val="00B918AE"/>
    <w:rsid w:val="00B923AB"/>
    <w:rsid w:val="00B928E3"/>
    <w:rsid w:val="00B93567"/>
    <w:rsid w:val="00B93F02"/>
    <w:rsid w:val="00B93F32"/>
    <w:rsid w:val="00B94E4F"/>
    <w:rsid w:val="00B97854"/>
    <w:rsid w:val="00BA0799"/>
    <w:rsid w:val="00BA0EDE"/>
    <w:rsid w:val="00BA14D0"/>
    <w:rsid w:val="00BA1DC1"/>
    <w:rsid w:val="00BA30DF"/>
    <w:rsid w:val="00BA333D"/>
    <w:rsid w:val="00BA5837"/>
    <w:rsid w:val="00BA652E"/>
    <w:rsid w:val="00BB0340"/>
    <w:rsid w:val="00BB043D"/>
    <w:rsid w:val="00BB12DA"/>
    <w:rsid w:val="00BB1D2A"/>
    <w:rsid w:val="00BB1F88"/>
    <w:rsid w:val="00BC0B94"/>
    <w:rsid w:val="00BC0DBB"/>
    <w:rsid w:val="00BC0F4D"/>
    <w:rsid w:val="00BC14D6"/>
    <w:rsid w:val="00BC3D0B"/>
    <w:rsid w:val="00BC4E9E"/>
    <w:rsid w:val="00BC5A9B"/>
    <w:rsid w:val="00BC748D"/>
    <w:rsid w:val="00BC7D64"/>
    <w:rsid w:val="00BD0B11"/>
    <w:rsid w:val="00BD24B2"/>
    <w:rsid w:val="00BD25B1"/>
    <w:rsid w:val="00BD3466"/>
    <w:rsid w:val="00BD51EF"/>
    <w:rsid w:val="00BD7057"/>
    <w:rsid w:val="00BD7871"/>
    <w:rsid w:val="00BD7A5B"/>
    <w:rsid w:val="00BD7C7A"/>
    <w:rsid w:val="00BE04B2"/>
    <w:rsid w:val="00BE107D"/>
    <w:rsid w:val="00BE3916"/>
    <w:rsid w:val="00BE4728"/>
    <w:rsid w:val="00BE48A5"/>
    <w:rsid w:val="00BE62A8"/>
    <w:rsid w:val="00BE65B3"/>
    <w:rsid w:val="00BE6DA6"/>
    <w:rsid w:val="00BE77B8"/>
    <w:rsid w:val="00BF0146"/>
    <w:rsid w:val="00BF0303"/>
    <w:rsid w:val="00BF1722"/>
    <w:rsid w:val="00BF2988"/>
    <w:rsid w:val="00BF2AAF"/>
    <w:rsid w:val="00BF2B3E"/>
    <w:rsid w:val="00BF2CCB"/>
    <w:rsid w:val="00BF3778"/>
    <w:rsid w:val="00BF4FAB"/>
    <w:rsid w:val="00BF6BD6"/>
    <w:rsid w:val="00BF7A0F"/>
    <w:rsid w:val="00BF7A9F"/>
    <w:rsid w:val="00C025AC"/>
    <w:rsid w:val="00C05366"/>
    <w:rsid w:val="00C06091"/>
    <w:rsid w:val="00C06231"/>
    <w:rsid w:val="00C06D37"/>
    <w:rsid w:val="00C06F90"/>
    <w:rsid w:val="00C106B7"/>
    <w:rsid w:val="00C110B6"/>
    <w:rsid w:val="00C13B5A"/>
    <w:rsid w:val="00C159D0"/>
    <w:rsid w:val="00C1621F"/>
    <w:rsid w:val="00C165DE"/>
    <w:rsid w:val="00C172B3"/>
    <w:rsid w:val="00C17BDB"/>
    <w:rsid w:val="00C236E4"/>
    <w:rsid w:val="00C248E8"/>
    <w:rsid w:val="00C24DE8"/>
    <w:rsid w:val="00C2565E"/>
    <w:rsid w:val="00C25F0B"/>
    <w:rsid w:val="00C30EB9"/>
    <w:rsid w:val="00C30FE3"/>
    <w:rsid w:val="00C324AA"/>
    <w:rsid w:val="00C33EBB"/>
    <w:rsid w:val="00C34553"/>
    <w:rsid w:val="00C358B8"/>
    <w:rsid w:val="00C3664B"/>
    <w:rsid w:val="00C37747"/>
    <w:rsid w:val="00C379BB"/>
    <w:rsid w:val="00C379D7"/>
    <w:rsid w:val="00C37E3C"/>
    <w:rsid w:val="00C41876"/>
    <w:rsid w:val="00C419C6"/>
    <w:rsid w:val="00C41DA7"/>
    <w:rsid w:val="00C42103"/>
    <w:rsid w:val="00C432D8"/>
    <w:rsid w:val="00C432F3"/>
    <w:rsid w:val="00C439A3"/>
    <w:rsid w:val="00C454E3"/>
    <w:rsid w:val="00C45636"/>
    <w:rsid w:val="00C46EEB"/>
    <w:rsid w:val="00C5175B"/>
    <w:rsid w:val="00C52F09"/>
    <w:rsid w:val="00C5304B"/>
    <w:rsid w:val="00C533D4"/>
    <w:rsid w:val="00C53488"/>
    <w:rsid w:val="00C55EBA"/>
    <w:rsid w:val="00C560E0"/>
    <w:rsid w:val="00C617DD"/>
    <w:rsid w:val="00C62056"/>
    <w:rsid w:val="00C63145"/>
    <w:rsid w:val="00C63254"/>
    <w:rsid w:val="00C63875"/>
    <w:rsid w:val="00C63F14"/>
    <w:rsid w:val="00C6462F"/>
    <w:rsid w:val="00C6604A"/>
    <w:rsid w:val="00C663E0"/>
    <w:rsid w:val="00C673D6"/>
    <w:rsid w:val="00C7289E"/>
    <w:rsid w:val="00C72A6D"/>
    <w:rsid w:val="00C75E8A"/>
    <w:rsid w:val="00C80451"/>
    <w:rsid w:val="00C82FB5"/>
    <w:rsid w:val="00C835DB"/>
    <w:rsid w:val="00C83B12"/>
    <w:rsid w:val="00C83F16"/>
    <w:rsid w:val="00C8590B"/>
    <w:rsid w:val="00C85E35"/>
    <w:rsid w:val="00C87F1D"/>
    <w:rsid w:val="00C90247"/>
    <w:rsid w:val="00C90F3E"/>
    <w:rsid w:val="00C91DE2"/>
    <w:rsid w:val="00C92A03"/>
    <w:rsid w:val="00C938A2"/>
    <w:rsid w:val="00C93D0D"/>
    <w:rsid w:val="00C9410B"/>
    <w:rsid w:val="00C94DC8"/>
    <w:rsid w:val="00C979E1"/>
    <w:rsid w:val="00C97DDF"/>
    <w:rsid w:val="00C97DFC"/>
    <w:rsid w:val="00CA0606"/>
    <w:rsid w:val="00CA3251"/>
    <w:rsid w:val="00CA3379"/>
    <w:rsid w:val="00CA5160"/>
    <w:rsid w:val="00CA5DC2"/>
    <w:rsid w:val="00CB15AE"/>
    <w:rsid w:val="00CB1E73"/>
    <w:rsid w:val="00CB2646"/>
    <w:rsid w:val="00CB30EF"/>
    <w:rsid w:val="00CB35E9"/>
    <w:rsid w:val="00CB49E8"/>
    <w:rsid w:val="00CB71DD"/>
    <w:rsid w:val="00CB7861"/>
    <w:rsid w:val="00CB7D2B"/>
    <w:rsid w:val="00CC0457"/>
    <w:rsid w:val="00CC15AA"/>
    <w:rsid w:val="00CC23FF"/>
    <w:rsid w:val="00CC39FB"/>
    <w:rsid w:val="00CC3C29"/>
    <w:rsid w:val="00CC3ECC"/>
    <w:rsid w:val="00CC4A79"/>
    <w:rsid w:val="00CC52F3"/>
    <w:rsid w:val="00CC572A"/>
    <w:rsid w:val="00CC6DCD"/>
    <w:rsid w:val="00CC7209"/>
    <w:rsid w:val="00CD0508"/>
    <w:rsid w:val="00CD187C"/>
    <w:rsid w:val="00CD360A"/>
    <w:rsid w:val="00CD3C1D"/>
    <w:rsid w:val="00CD5755"/>
    <w:rsid w:val="00CD5FCE"/>
    <w:rsid w:val="00CD6BAC"/>
    <w:rsid w:val="00CD7BDB"/>
    <w:rsid w:val="00CE065F"/>
    <w:rsid w:val="00CE108F"/>
    <w:rsid w:val="00CE1D1E"/>
    <w:rsid w:val="00CE22E6"/>
    <w:rsid w:val="00CE273E"/>
    <w:rsid w:val="00CE28C7"/>
    <w:rsid w:val="00CE2F4C"/>
    <w:rsid w:val="00CE30CA"/>
    <w:rsid w:val="00CE5C21"/>
    <w:rsid w:val="00CE637D"/>
    <w:rsid w:val="00CE6E9D"/>
    <w:rsid w:val="00CE7829"/>
    <w:rsid w:val="00CE78BD"/>
    <w:rsid w:val="00CF07E0"/>
    <w:rsid w:val="00CF144C"/>
    <w:rsid w:val="00CF25F5"/>
    <w:rsid w:val="00CF2BEE"/>
    <w:rsid w:val="00CF3384"/>
    <w:rsid w:val="00CF786E"/>
    <w:rsid w:val="00D00075"/>
    <w:rsid w:val="00D00767"/>
    <w:rsid w:val="00D00A45"/>
    <w:rsid w:val="00D0226D"/>
    <w:rsid w:val="00D03104"/>
    <w:rsid w:val="00D03F56"/>
    <w:rsid w:val="00D0434A"/>
    <w:rsid w:val="00D06F12"/>
    <w:rsid w:val="00D0738E"/>
    <w:rsid w:val="00D07592"/>
    <w:rsid w:val="00D07BA5"/>
    <w:rsid w:val="00D11328"/>
    <w:rsid w:val="00D129C1"/>
    <w:rsid w:val="00D135C6"/>
    <w:rsid w:val="00D14820"/>
    <w:rsid w:val="00D1654E"/>
    <w:rsid w:val="00D17FD0"/>
    <w:rsid w:val="00D2068A"/>
    <w:rsid w:val="00D210E4"/>
    <w:rsid w:val="00D21CC7"/>
    <w:rsid w:val="00D21D17"/>
    <w:rsid w:val="00D2228C"/>
    <w:rsid w:val="00D23B3F"/>
    <w:rsid w:val="00D24094"/>
    <w:rsid w:val="00D243AA"/>
    <w:rsid w:val="00D272F9"/>
    <w:rsid w:val="00D303C7"/>
    <w:rsid w:val="00D3225A"/>
    <w:rsid w:val="00D32508"/>
    <w:rsid w:val="00D343D6"/>
    <w:rsid w:val="00D34A70"/>
    <w:rsid w:val="00D3523D"/>
    <w:rsid w:val="00D37E88"/>
    <w:rsid w:val="00D41EF0"/>
    <w:rsid w:val="00D425C5"/>
    <w:rsid w:val="00D429F7"/>
    <w:rsid w:val="00D44BD0"/>
    <w:rsid w:val="00D52048"/>
    <w:rsid w:val="00D521E0"/>
    <w:rsid w:val="00D522DF"/>
    <w:rsid w:val="00D5245F"/>
    <w:rsid w:val="00D53158"/>
    <w:rsid w:val="00D53A9B"/>
    <w:rsid w:val="00D545AE"/>
    <w:rsid w:val="00D574EE"/>
    <w:rsid w:val="00D6306F"/>
    <w:rsid w:val="00D6325B"/>
    <w:rsid w:val="00D64D4D"/>
    <w:rsid w:val="00D6771C"/>
    <w:rsid w:val="00D67F1D"/>
    <w:rsid w:val="00D70AA6"/>
    <w:rsid w:val="00D70D7C"/>
    <w:rsid w:val="00D71FF3"/>
    <w:rsid w:val="00D74171"/>
    <w:rsid w:val="00D7754D"/>
    <w:rsid w:val="00D804FA"/>
    <w:rsid w:val="00D808B0"/>
    <w:rsid w:val="00D809C0"/>
    <w:rsid w:val="00D81345"/>
    <w:rsid w:val="00D813FF"/>
    <w:rsid w:val="00D81BDC"/>
    <w:rsid w:val="00D83F2E"/>
    <w:rsid w:val="00D856C3"/>
    <w:rsid w:val="00D86B15"/>
    <w:rsid w:val="00D9162B"/>
    <w:rsid w:val="00D922CF"/>
    <w:rsid w:val="00D92958"/>
    <w:rsid w:val="00D93043"/>
    <w:rsid w:val="00D94DB5"/>
    <w:rsid w:val="00D94F29"/>
    <w:rsid w:val="00D95C77"/>
    <w:rsid w:val="00D9622D"/>
    <w:rsid w:val="00D96518"/>
    <w:rsid w:val="00D97811"/>
    <w:rsid w:val="00DA00C5"/>
    <w:rsid w:val="00DA169D"/>
    <w:rsid w:val="00DA1AA8"/>
    <w:rsid w:val="00DA2C0B"/>
    <w:rsid w:val="00DA327B"/>
    <w:rsid w:val="00DA39EC"/>
    <w:rsid w:val="00DA6814"/>
    <w:rsid w:val="00DB0BD4"/>
    <w:rsid w:val="00DB13AD"/>
    <w:rsid w:val="00DB22C9"/>
    <w:rsid w:val="00DB2C72"/>
    <w:rsid w:val="00DB3EC1"/>
    <w:rsid w:val="00DB4B5A"/>
    <w:rsid w:val="00DC0E38"/>
    <w:rsid w:val="00DC127D"/>
    <w:rsid w:val="00DC224D"/>
    <w:rsid w:val="00DC4E1F"/>
    <w:rsid w:val="00DC4E3B"/>
    <w:rsid w:val="00DD04A1"/>
    <w:rsid w:val="00DD0BFC"/>
    <w:rsid w:val="00DD1089"/>
    <w:rsid w:val="00DD17B4"/>
    <w:rsid w:val="00DD3B09"/>
    <w:rsid w:val="00DD4885"/>
    <w:rsid w:val="00DD5A58"/>
    <w:rsid w:val="00DE274C"/>
    <w:rsid w:val="00DE5E82"/>
    <w:rsid w:val="00DE6334"/>
    <w:rsid w:val="00DE7672"/>
    <w:rsid w:val="00DE7CA4"/>
    <w:rsid w:val="00DF010E"/>
    <w:rsid w:val="00DF0B8B"/>
    <w:rsid w:val="00DF0D75"/>
    <w:rsid w:val="00DF1D28"/>
    <w:rsid w:val="00DF25ED"/>
    <w:rsid w:val="00DF26CF"/>
    <w:rsid w:val="00DF2B2A"/>
    <w:rsid w:val="00DF2D97"/>
    <w:rsid w:val="00DF308A"/>
    <w:rsid w:val="00DF3EC6"/>
    <w:rsid w:val="00DF63C1"/>
    <w:rsid w:val="00E01819"/>
    <w:rsid w:val="00E01B23"/>
    <w:rsid w:val="00E01FA1"/>
    <w:rsid w:val="00E02F16"/>
    <w:rsid w:val="00E0405A"/>
    <w:rsid w:val="00E04461"/>
    <w:rsid w:val="00E05635"/>
    <w:rsid w:val="00E060DB"/>
    <w:rsid w:val="00E06A45"/>
    <w:rsid w:val="00E10D28"/>
    <w:rsid w:val="00E1458B"/>
    <w:rsid w:val="00E14895"/>
    <w:rsid w:val="00E16A68"/>
    <w:rsid w:val="00E177F0"/>
    <w:rsid w:val="00E20258"/>
    <w:rsid w:val="00E323DB"/>
    <w:rsid w:val="00E33C16"/>
    <w:rsid w:val="00E34A78"/>
    <w:rsid w:val="00E34EB1"/>
    <w:rsid w:val="00E3500B"/>
    <w:rsid w:val="00E35B17"/>
    <w:rsid w:val="00E35B79"/>
    <w:rsid w:val="00E35CF8"/>
    <w:rsid w:val="00E35D32"/>
    <w:rsid w:val="00E3605B"/>
    <w:rsid w:val="00E366D5"/>
    <w:rsid w:val="00E36767"/>
    <w:rsid w:val="00E369CC"/>
    <w:rsid w:val="00E37DEC"/>
    <w:rsid w:val="00E406D8"/>
    <w:rsid w:val="00E408DB"/>
    <w:rsid w:val="00E429E4"/>
    <w:rsid w:val="00E434F6"/>
    <w:rsid w:val="00E434F9"/>
    <w:rsid w:val="00E44541"/>
    <w:rsid w:val="00E44E04"/>
    <w:rsid w:val="00E459A4"/>
    <w:rsid w:val="00E46132"/>
    <w:rsid w:val="00E464BA"/>
    <w:rsid w:val="00E475F5"/>
    <w:rsid w:val="00E5127C"/>
    <w:rsid w:val="00E52121"/>
    <w:rsid w:val="00E52465"/>
    <w:rsid w:val="00E5478B"/>
    <w:rsid w:val="00E55377"/>
    <w:rsid w:val="00E559E4"/>
    <w:rsid w:val="00E56CC8"/>
    <w:rsid w:val="00E60A2D"/>
    <w:rsid w:val="00E60F80"/>
    <w:rsid w:val="00E61E8A"/>
    <w:rsid w:val="00E62001"/>
    <w:rsid w:val="00E6222F"/>
    <w:rsid w:val="00E62AFA"/>
    <w:rsid w:val="00E65B58"/>
    <w:rsid w:val="00E660D0"/>
    <w:rsid w:val="00E679A5"/>
    <w:rsid w:val="00E67D59"/>
    <w:rsid w:val="00E70942"/>
    <w:rsid w:val="00E71B85"/>
    <w:rsid w:val="00E71E6A"/>
    <w:rsid w:val="00E72338"/>
    <w:rsid w:val="00E7259C"/>
    <w:rsid w:val="00E72A04"/>
    <w:rsid w:val="00E74FAD"/>
    <w:rsid w:val="00E759BB"/>
    <w:rsid w:val="00E7634E"/>
    <w:rsid w:val="00E7689B"/>
    <w:rsid w:val="00E76E84"/>
    <w:rsid w:val="00E77410"/>
    <w:rsid w:val="00E82033"/>
    <w:rsid w:val="00E83683"/>
    <w:rsid w:val="00E83AFF"/>
    <w:rsid w:val="00E84AA8"/>
    <w:rsid w:val="00E84D32"/>
    <w:rsid w:val="00E86BD9"/>
    <w:rsid w:val="00E9197C"/>
    <w:rsid w:val="00E923C9"/>
    <w:rsid w:val="00E92ABB"/>
    <w:rsid w:val="00E9418F"/>
    <w:rsid w:val="00E9500F"/>
    <w:rsid w:val="00E950A1"/>
    <w:rsid w:val="00E95131"/>
    <w:rsid w:val="00E95742"/>
    <w:rsid w:val="00E96226"/>
    <w:rsid w:val="00E972BB"/>
    <w:rsid w:val="00E9742C"/>
    <w:rsid w:val="00E97C77"/>
    <w:rsid w:val="00EA02BC"/>
    <w:rsid w:val="00EA1344"/>
    <w:rsid w:val="00EA2E5D"/>
    <w:rsid w:val="00EA4927"/>
    <w:rsid w:val="00EA4AAA"/>
    <w:rsid w:val="00EA5386"/>
    <w:rsid w:val="00EA5BF9"/>
    <w:rsid w:val="00EA6480"/>
    <w:rsid w:val="00EA7389"/>
    <w:rsid w:val="00EA7638"/>
    <w:rsid w:val="00EB07D6"/>
    <w:rsid w:val="00EB1299"/>
    <w:rsid w:val="00EB1A33"/>
    <w:rsid w:val="00EB5C36"/>
    <w:rsid w:val="00EB6123"/>
    <w:rsid w:val="00EB61D2"/>
    <w:rsid w:val="00EB6308"/>
    <w:rsid w:val="00EB765E"/>
    <w:rsid w:val="00EC4C89"/>
    <w:rsid w:val="00EC5357"/>
    <w:rsid w:val="00EC5741"/>
    <w:rsid w:val="00EC5769"/>
    <w:rsid w:val="00EC678E"/>
    <w:rsid w:val="00EC6F76"/>
    <w:rsid w:val="00EC7198"/>
    <w:rsid w:val="00EC733C"/>
    <w:rsid w:val="00ED0F7E"/>
    <w:rsid w:val="00ED1CFB"/>
    <w:rsid w:val="00ED24CD"/>
    <w:rsid w:val="00ED3771"/>
    <w:rsid w:val="00ED5C7C"/>
    <w:rsid w:val="00EE03F6"/>
    <w:rsid w:val="00EE0609"/>
    <w:rsid w:val="00EE2499"/>
    <w:rsid w:val="00EE2D7D"/>
    <w:rsid w:val="00EE4090"/>
    <w:rsid w:val="00EE4227"/>
    <w:rsid w:val="00EE68B7"/>
    <w:rsid w:val="00EF0B3B"/>
    <w:rsid w:val="00EF4ED6"/>
    <w:rsid w:val="00EF5A64"/>
    <w:rsid w:val="00EF716B"/>
    <w:rsid w:val="00F02129"/>
    <w:rsid w:val="00F02C16"/>
    <w:rsid w:val="00F031E3"/>
    <w:rsid w:val="00F045F0"/>
    <w:rsid w:val="00F04F57"/>
    <w:rsid w:val="00F055B2"/>
    <w:rsid w:val="00F05F38"/>
    <w:rsid w:val="00F05F5E"/>
    <w:rsid w:val="00F06056"/>
    <w:rsid w:val="00F060C8"/>
    <w:rsid w:val="00F06910"/>
    <w:rsid w:val="00F07B50"/>
    <w:rsid w:val="00F07BBE"/>
    <w:rsid w:val="00F100CD"/>
    <w:rsid w:val="00F10437"/>
    <w:rsid w:val="00F10CC1"/>
    <w:rsid w:val="00F119B6"/>
    <w:rsid w:val="00F13D8E"/>
    <w:rsid w:val="00F13FC2"/>
    <w:rsid w:val="00F15EA0"/>
    <w:rsid w:val="00F1657B"/>
    <w:rsid w:val="00F203EB"/>
    <w:rsid w:val="00F21A06"/>
    <w:rsid w:val="00F22069"/>
    <w:rsid w:val="00F2394B"/>
    <w:rsid w:val="00F27664"/>
    <w:rsid w:val="00F277DB"/>
    <w:rsid w:val="00F31678"/>
    <w:rsid w:val="00F35D3F"/>
    <w:rsid w:val="00F35F7E"/>
    <w:rsid w:val="00F40361"/>
    <w:rsid w:val="00F40B3A"/>
    <w:rsid w:val="00F41848"/>
    <w:rsid w:val="00F43B82"/>
    <w:rsid w:val="00F45EC4"/>
    <w:rsid w:val="00F47EA0"/>
    <w:rsid w:val="00F50777"/>
    <w:rsid w:val="00F50F54"/>
    <w:rsid w:val="00F52928"/>
    <w:rsid w:val="00F53409"/>
    <w:rsid w:val="00F54594"/>
    <w:rsid w:val="00F54B93"/>
    <w:rsid w:val="00F54D32"/>
    <w:rsid w:val="00F56D3B"/>
    <w:rsid w:val="00F614CF"/>
    <w:rsid w:val="00F62D52"/>
    <w:rsid w:val="00F62D73"/>
    <w:rsid w:val="00F63E3D"/>
    <w:rsid w:val="00F6468E"/>
    <w:rsid w:val="00F65067"/>
    <w:rsid w:val="00F65BB1"/>
    <w:rsid w:val="00F673B5"/>
    <w:rsid w:val="00F701F1"/>
    <w:rsid w:val="00F70E5F"/>
    <w:rsid w:val="00F71E46"/>
    <w:rsid w:val="00F72D10"/>
    <w:rsid w:val="00F733A0"/>
    <w:rsid w:val="00F74B33"/>
    <w:rsid w:val="00F75F7E"/>
    <w:rsid w:val="00F767BB"/>
    <w:rsid w:val="00F80675"/>
    <w:rsid w:val="00F80D8A"/>
    <w:rsid w:val="00F82B96"/>
    <w:rsid w:val="00F8452E"/>
    <w:rsid w:val="00F86787"/>
    <w:rsid w:val="00F917C2"/>
    <w:rsid w:val="00F92831"/>
    <w:rsid w:val="00F938CD"/>
    <w:rsid w:val="00F93FB5"/>
    <w:rsid w:val="00F94387"/>
    <w:rsid w:val="00F95310"/>
    <w:rsid w:val="00F956C0"/>
    <w:rsid w:val="00F9589B"/>
    <w:rsid w:val="00F962A5"/>
    <w:rsid w:val="00F978EC"/>
    <w:rsid w:val="00F97E61"/>
    <w:rsid w:val="00F97E76"/>
    <w:rsid w:val="00F97F1D"/>
    <w:rsid w:val="00FA07B7"/>
    <w:rsid w:val="00FA0BE6"/>
    <w:rsid w:val="00FA1827"/>
    <w:rsid w:val="00FA1888"/>
    <w:rsid w:val="00FA19A3"/>
    <w:rsid w:val="00FA1B66"/>
    <w:rsid w:val="00FA1BC0"/>
    <w:rsid w:val="00FA1BDA"/>
    <w:rsid w:val="00FA26DE"/>
    <w:rsid w:val="00FA41A2"/>
    <w:rsid w:val="00FA472D"/>
    <w:rsid w:val="00FA4AB3"/>
    <w:rsid w:val="00FA5062"/>
    <w:rsid w:val="00FA7486"/>
    <w:rsid w:val="00FB2A24"/>
    <w:rsid w:val="00FB3F62"/>
    <w:rsid w:val="00FB5094"/>
    <w:rsid w:val="00FB5338"/>
    <w:rsid w:val="00FB54F9"/>
    <w:rsid w:val="00FB6010"/>
    <w:rsid w:val="00FB7C44"/>
    <w:rsid w:val="00FC2095"/>
    <w:rsid w:val="00FC3AA9"/>
    <w:rsid w:val="00FC4061"/>
    <w:rsid w:val="00FC4B0E"/>
    <w:rsid w:val="00FC507A"/>
    <w:rsid w:val="00FC54C1"/>
    <w:rsid w:val="00FC55A4"/>
    <w:rsid w:val="00FC5ABC"/>
    <w:rsid w:val="00FC5F5A"/>
    <w:rsid w:val="00FC6B49"/>
    <w:rsid w:val="00FC7542"/>
    <w:rsid w:val="00FC7D7E"/>
    <w:rsid w:val="00FD0F29"/>
    <w:rsid w:val="00FD3B1E"/>
    <w:rsid w:val="00FD43F4"/>
    <w:rsid w:val="00FD535E"/>
    <w:rsid w:val="00FD57C2"/>
    <w:rsid w:val="00FD7B26"/>
    <w:rsid w:val="00FE28D6"/>
    <w:rsid w:val="00FE3EC4"/>
    <w:rsid w:val="00FE5018"/>
    <w:rsid w:val="00FE506B"/>
    <w:rsid w:val="00FE6657"/>
    <w:rsid w:val="00FE72C9"/>
    <w:rsid w:val="00FF23AE"/>
    <w:rsid w:val="00FF29D7"/>
    <w:rsid w:val="00FF3909"/>
    <w:rsid w:val="00FF49FA"/>
    <w:rsid w:val="00FF4ACE"/>
    <w:rsid w:val="00FF5DC8"/>
    <w:rsid w:val="00FF6A27"/>
    <w:rsid w:val="00FF7123"/>
    <w:rsid w:val="00FF7CC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9cf,#bdf,#cde6ff,#eaeaea,#f0f0f0,#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0E48"/>
    <w:pPr>
      <w:overflowPunct w:val="0"/>
      <w:autoSpaceDE w:val="0"/>
      <w:autoSpaceDN w:val="0"/>
      <w:adjustRightInd w:val="0"/>
      <w:textAlignment w:val="baseline"/>
    </w:pPr>
    <w:rPr>
      <w:rFonts w:ascii="Arial" w:hAnsi="Arial"/>
      <w:sz w:val="22"/>
      <w:lang w:eastAsia="de-DE"/>
    </w:rPr>
  </w:style>
  <w:style w:type="paragraph" w:styleId="berschrift1">
    <w:name w:val="heading 1"/>
    <w:aliases w:val="Section Heading"/>
    <w:basedOn w:val="Standard"/>
    <w:next w:val="Textkrper"/>
    <w:link w:val="berschrift1Zchn1"/>
    <w:qFormat/>
    <w:rsid w:val="003173F5"/>
    <w:pPr>
      <w:keepNext/>
      <w:numPr>
        <w:numId w:val="16"/>
      </w:numPr>
      <w:tabs>
        <w:tab w:val="left" w:pos="567"/>
      </w:tabs>
      <w:spacing w:before="480" w:after="80"/>
      <w:outlineLvl w:val="0"/>
    </w:pPr>
    <w:rPr>
      <w:rFonts w:cs="Arial"/>
      <w:b/>
      <w:bCs/>
      <w:kern w:val="32"/>
      <w:sz w:val="26"/>
      <w:szCs w:val="32"/>
    </w:rPr>
  </w:style>
  <w:style w:type="paragraph" w:styleId="berschrift2">
    <w:name w:val="heading 2"/>
    <w:aliases w:val="Reset numbering"/>
    <w:basedOn w:val="Standard"/>
    <w:next w:val="Textkrper"/>
    <w:qFormat/>
    <w:rsid w:val="00C3664B"/>
    <w:pPr>
      <w:keepNext/>
      <w:numPr>
        <w:ilvl w:val="1"/>
        <w:numId w:val="2"/>
      </w:numPr>
      <w:tabs>
        <w:tab w:val="left" w:pos="992"/>
      </w:tabs>
      <w:spacing w:before="400" w:after="80"/>
      <w:outlineLvl w:val="1"/>
    </w:pPr>
    <w:rPr>
      <w:rFonts w:cs="Arial"/>
      <w:b/>
      <w:bCs/>
      <w:iCs/>
      <w:szCs w:val="28"/>
    </w:rPr>
  </w:style>
  <w:style w:type="paragraph" w:styleId="berschrift3">
    <w:name w:val="heading 3"/>
    <w:aliases w:val="Level 1 - 1"/>
    <w:basedOn w:val="Standard"/>
    <w:next w:val="Textkrper"/>
    <w:qFormat/>
    <w:rsid w:val="00714C1C"/>
    <w:pPr>
      <w:keepNext/>
      <w:numPr>
        <w:ilvl w:val="2"/>
        <w:numId w:val="2"/>
      </w:numPr>
      <w:tabs>
        <w:tab w:val="left" w:pos="992"/>
      </w:tabs>
      <w:spacing w:before="320" w:after="80"/>
      <w:outlineLvl w:val="2"/>
    </w:pPr>
    <w:rPr>
      <w:rFonts w:cs="Arial"/>
      <w:b/>
      <w:bCs/>
      <w:szCs w:val="26"/>
    </w:rPr>
  </w:style>
  <w:style w:type="paragraph" w:styleId="berschrift4">
    <w:name w:val="heading 4"/>
    <w:aliases w:val="Level 2 - a"/>
    <w:basedOn w:val="Standard"/>
    <w:next w:val="Textkrper"/>
    <w:qFormat/>
    <w:rsid w:val="00714C1C"/>
    <w:pPr>
      <w:keepNext/>
      <w:numPr>
        <w:ilvl w:val="3"/>
        <w:numId w:val="2"/>
      </w:numPr>
      <w:tabs>
        <w:tab w:val="left" w:pos="992"/>
      </w:tabs>
      <w:spacing w:before="240" w:after="80"/>
      <w:outlineLvl w:val="3"/>
    </w:pPr>
    <w:rPr>
      <w:b/>
      <w:bCs/>
      <w:szCs w:val="28"/>
    </w:rPr>
  </w:style>
  <w:style w:type="paragraph" w:styleId="berschrift5">
    <w:name w:val="heading 5"/>
    <w:aliases w:val="Level 3 - i"/>
    <w:basedOn w:val="Standard"/>
    <w:next w:val="Standard"/>
    <w:qFormat/>
    <w:rsid w:val="00714C1C"/>
    <w:pPr>
      <w:numPr>
        <w:ilvl w:val="4"/>
        <w:numId w:val="16"/>
      </w:numPr>
      <w:spacing w:before="240" w:after="60"/>
      <w:outlineLvl w:val="4"/>
    </w:pPr>
    <w:rPr>
      <w:b/>
      <w:bCs/>
      <w:i/>
      <w:iCs/>
      <w:sz w:val="26"/>
      <w:szCs w:val="26"/>
    </w:rPr>
  </w:style>
  <w:style w:type="paragraph" w:styleId="berschrift6">
    <w:name w:val="heading 6"/>
    <w:basedOn w:val="Standard"/>
    <w:next w:val="Standard"/>
    <w:qFormat/>
    <w:rsid w:val="00714C1C"/>
    <w:pPr>
      <w:numPr>
        <w:ilvl w:val="5"/>
        <w:numId w:val="16"/>
      </w:numPr>
      <w:spacing w:before="240" w:after="60"/>
      <w:outlineLvl w:val="5"/>
    </w:pPr>
    <w:rPr>
      <w:rFonts w:ascii="Times New Roman" w:hAnsi="Times New Roman"/>
      <w:b/>
      <w:bCs/>
      <w:szCs w:val="22"/>
    </w:rPr>
  </w:style>
  <w:style w:type="paragraph" w:styleId="berschrift7">
    <w:name w:val="heading 7"/>
    <w:aliases w:val="Legal Level 1.1."/>
    <w:basedOn w:val="Standard"/>
    <w:next w:val="Standard"/>
    <w:qFormat/>
    <w:rsid w:val="00714C1C"/>
    <w:pPr>
      <w:numPr>
        <w:ilvl w:val="6"/>
        <w:numId w:val="16"/>
      </w:numPr>
      <w:spacing w:before="240" w:after="60"/>
      <w:outlineLvl w:val="6"/>
    </w:pPr>
    <w:rPr>
      <w:rFonts w:ascii="Times New Roman" w:hAnsi="Times New Roman"/>
      <w:sz w:val="24"/>
      <w:szCs w:val="24"/>
    </w:rPr>
  </w:style>
  <w:style w:type="paragraph" w:styleId="berschrift8">
    <w:name w:val="heading 8"/>
    <w:aliases w:val="Legal Level 1.1.1."/>
    <w:basedOn w:val="Standard"/>
    <w:next w:val="Standard"/>
    <w:qFormat/>
    <w:rsid w:val="00714C1C"/>
    <w:pPr>
      <w:numPr>
        <w:ilvl w:val="7"/>
        <w:numId w:val="16"/>
      </w:numPr>
      <w:spacing w:before="240" w:after="60"/>
      <w:outlineLvl w:val="7"/>
    </w:pPr>
    <w:rPr>
      <w:rFonts w:ascii="Times New Roman" w:hAnsi="Times New Roman"/>
      <w:i/>
      <w:iCs/>
      <w:sz w:val="24"/>
      <w:szCs w:val="24"/>
    </w:rPr>
  </w:style>
  <w:style w:type="paragraph" w:styleId="berschrift9">
    <w:name w:val="heading 9"/>
    <w:aliases w:val="Legal Level 1.1.1.1."/>
    <w:basedOn w:val="Standard"/>
    <w:next w:val="Standard"/>
    <w:qFormat/>
    <w:rsid w:val="00714C1C"/>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14C1C"/>
    <w:pPr>
      <w:spacing w:line="280" w:lineRule="exact"/>
      <w:jc w:val="both"/>
    </w:pPr>
  </w:style>
  <w:style w:type="paragraph" w:styleId="Textkrper2">
    <w:name w:val="Body Text 2"/>
    <w:basedOn w:val="Standard"/>
    <w:rsid w:val="00714C1C"/>
    <w:pPr>
      <w:widowControl w:val="0"/>
      <w:jc w:val="both"/>
    </w:pPr>
    <w:rPr>
      <w:color w:val="000000"/>
    </w:rPr>
  </w:style>
  <w:style w:type="paragraph" w:styleId="Kopfzeile">
    <w:name w:val="header"/>
    <w:basedOn w:val="Standard"/>
    <w:link w:val="KopfzeileZchn"/>
    <w:rsid w:val="00714C1C"/>
    <w:pPr>
      <w:tabs>
        <w:tab w:val="center" w:pos="4536"/>
        <w:tab w:val="right" w:pos="9072"/>
      </w:tabs>
    </w:pPr>
  </w:style>
  <w:style w:type="paragraph" w:styleId="Fuzeile">
    <w:name w:val="footer"/>
    <w:basedOn w:val="Standard"/>
    <w:rsid w:val="00714C1C"/>
    <w:pPr>
      <w:tabs>
        <w:tab w:val="center" w:pos="4536"/>
        <w:tab w:val="right" w:pos="9072"/>
      </w:tabs>
      <w:spacing w:before="480"/>
    </w:pPr>
    <w:rPr>
      <w:sz w:val="18"/>
    </w:rPr>
  </w:style>
  <w:style w:type="character" w:styleId="Seitenzahl">
    <w:name w:val="page number"/>
    <w:rsid w:val="00714C1C"/>
    <w:rPr>
      <w:rFonts w:ascii="Arial" w:hAnsi="Arial"/>
    </w:rPr>
  </w:style>
  <w:style w:type="paragraph" w:styleId="Dokumentstruktur">
    <w:name w:val="Document Map"/>
    <w:basedOn w:val="Standard"/>
    <w:semiHidden/>
    <w:rsid w:val="00714C1C"/>
    <w:pPr>
      <w:shd w:val="clear" w:color="auto" w:fill="000080"/>
    </w:pPr>
    <w:rPr>
      <w:rFonts w:ascii="Tahoma" w:hAnsi="Tahoma" w:cs="Tahoma"/>
    </w:rPr>
  </w:style>
  <w:style w:type="paragraph" w:customStyle="1" w:styleId="Unterabteilung">
    <w:name w:val="Unterabteilung"/>
    <w:basedOn w:val="Kopfzeile"/>
    <w:rsid w:val="00714C1C"/>
    <w:pPr>
      <w:spacing w:after="240"/>
    </w:pPr>
    <w:rPr>
      <w:b/>
    </w:rPr>
  </w:style>
  <w:style w:type="paragraph" w:customStyle="1" w:styleId="Absender">
    <w:name w:val="Absender"/>
    <w:basedOn w:val="Standard"/>
    <w:rsid w:val="00714C1C"/>
    <w:pPr>
      <w:tabs>
        <w:tab w:val="left" w:pos="851"/>
      </w:tabs>
    </w:pPr>
    <w:rPr>
      <w:sz w:val="18"/>
    </w:rPr>
  </w:style>
  <w:style w:type="paragraph" w:customStyle="1" w:styleId="Departement">
    <w:name w:val="Departement"/>
    <w:basedOn w:val="Kopfzeile"/>
    <w:next w:val="Dienststelle"/>
    <w:rsid w:val="00714C1C"/>
    <w:pPr>
      <w:spacing w:before="380"/>
    </w:pPr>
  </w:style>
  <w:style w:type="paragraph" w:customStyle="1" w:styleId="Dienststelle">
    <w:name w:val="Dienststelle"/>
    <w:basedOn w:val="Kopfzeile"/>
    <w:next w:val="Standard"/>
    <w:rsid w:val="00714C1C"/>
    <w:pPr>
      <w:spacing w:before="340" w:after="200"/>
    </w:pPr>
    <w:rPr>
      <w:b/>
      <w:sz w:val="30"/>
    </w:rPr>
  </w:style>
  <w:style w:type="paragraph" w:styleId="Anrede">
    <w:name w:val="Salutation"/>
    <w:basedOn w:val="Standard"/>
    <w:next w:val="Textkrper"/>
    <w:rsid w:val="00714C1C"/>
  </w:style>
  <w:style w:type="paragraph" w:customStyle="1" w:styleId="Betreff">
    <w:name w:val="Betreff"/>
    <w:basedOn w:val="Standard"/>
    <w:next w:val="Anrede"/>
    <w:rsid w:val="00714C1C"/>
    <w:rPr>
      <w:b/>
    </w:rPr>
  </w:style>
  <w:style w:type="paragraph" w:customStyle="1" w:styleId="OrtDatum">
    <w:name w:val="Ort &amp; Datum"/>
    <w:basedOn w:val="Standard"/>
    <w:next w:val="Betreff"/>
    <w:rsid w:val="00714C1C"/>
    <w:pPr>
      <w:spacing w:before="900" w:after="400"/>
      <w:ind w:left="5103"/>
    </w:pPr>
  </w:style>
  <w:style w:type="paragraph" w:styleId="Gruformel">
    <w:name w:val="Closing"/>
    <w:basedOn w:val="Brieftext"/>
    <w:next w:val="GrussformelName"/>
    <w:rsid w:val="00B20E48"/>
    <w:pPr>
      <w:tabs>
        <w:tab w:val="clear" w:pos="851"/>
        <w:tab w:val="clear" w:pos="5103"/>
      </w:tabs>
      <w:spacing w:line="240" w:lineRule="auto"/>
    </w:pPr>
    <w:rPr>
      <w:b w:val="0"/>
      <w:sz w:val="22"/>
    </w:rPr>
  </w:style>
  <w:style w:type="paragraph" w:customStyle="1" w:styleId="GrussformelName">
    <w:name w:val="Grussformel Name"/>
    <w:basedOn w:val="Standard"/>
    <w:next w:val="GrussformelFunktion"/>
    <w:rsid w:val="00714C1C"/>
    <w:pPr>
      <w:spacing w:after="60"/>
    </w:pPr>
  </w:style>
  <w:style w:type="paragraph" w:customStyle="1" w:styleId="GrussformelFunktion">
    <w:name w:val="Grussformel Funktion"/>
    <w:basedOn w:val="Standard"/>
    <w:next w:val="Standard"/>
    <w:rsid w:val="00714C1C"/>
  </w:style>
  <w:style w:type="paragraph" w:customStyle="1" w:styleId="FormatvorlageTextkrperLinks">
    <w:name w:val="Formatvorlage Textkörper + Links"/>
    <w:basedOn w:val="Textkrper"/>
    <w:rsid w:val="00714C1C"/>
    <w:pPr>
      <w:jc w:val="left"/>
    </w:pPr>
  </w:style>
  <w:style w:type="paragraph" w:customStyle="1" w:styleId="Abteilung1">
    <w:name w:val="Abteilung 1"/>
    <w:basedOn w:val="Standard"/>
    <w:next w:val="Abteilung2"/>
    <w:rsid w:val="00714C1C"/>
    <w:pPr>
      <w:tabs>
        <w:tab w:val="left" w:pos="0"/>
        <w:tab w:val="left" w:pos="5103"/>
      </w:tabs>
      <w:spacing w:before="200" w:after="80"/>
      <w:ind w:left="-284"/>
    </w:pPr>
  </w:style>
  <w:style w:type="paragraph" w:customStyle="1" w:styleId="Abteilung2">
    <w:name w:val="Abteilung 2"/>
    <w:basedOn w:val="Standard"/>
    <w:next w:val="Absender"/>
    <w:rsid w:val="00714C1C"/>
    <w:pPr>
      <w:tabs>
        <w:tab w:val="left" w:pos="0"/>
        <w:tab w:val="left" w:pos="5103"/>
      </w:tabs>
      <w:spacing w:after="240"/>
      <w:ind w:left="-284"/>
    </w:pPr>
    <w:rPr>
      <w:b/>
      <w:bCs/>
    </w:rPr>
  </w:style>
  <w:style w:type="character" w:customStyle="1" w:styleId="TextkrperChar">
    <w:name w:val="Textkörper Char"/>
    <w:rsid w:val="00714C1C"/>
    <w:rPr>
      <w:rFonts w:ascii="Arial" w:hAnsi="Arial"/>
      <w:sz w:val="24"/>
      <w:lang w:val="de-DE" w:eastAsia="de-DE" w:bidi="ar-SA"/>
    </w:rPr>
  </w:style>
  <w:style w:type="character" w:styleId="Hyperlink">
    <w:name w:val="Hyperlink"/>
    <w:rsid w:val="00714C1C"/>
    <w:rPr>
      <w:color w:val="0000FF"/>
      <w:u w:val="single"/>
    </w:rPr>
  </w:style>
  <w:style w:type="character" w:customStyle="1" w:styleId="OrtDatumChar">
    <w:name w:val="Ort &amp; Datum Char"/>
    <w:rsid w:val="00714C1C"/>
    <w:rPr>
      <w:rFonts w:ascii="Arial" w:hAnsi="Arial"/>
      <w:sz w:val="24"/>
      <w:lang w:val="de-DE" w:eastAsia="de-DE" w:bidi="ar-SA"/>
    </w:rPr>
  </w:style>
  <w:style w:type="paragraph" w:customStyle="1" w:styleId="Kopfzeile2Seite1Zeile">
    <w:name w:val="Kopfzeile 2. Seite 1. Zeile"/>
    <w:basedOn w:val="Standard"/>
    <w:rsid w:val="00714C1C"/>
    <w:pPr>
      <w:tabs>
        <w:tab w:val="right" w:pos="9356"/>
      </w:tabs>
    </w:pPr>
    <w:rPr>
      <w:b/>
      <w:bCs/>
      <w:sz w:val="18"/>
    </w:rPr>
  </w:style>
  <w:style w:type="paragraph" w:customStyle="1" w:styleId="Empfnger">
    <w:name w:val="Empfänger"/>
    <w:basedOn w:val="Standard"/>
    <w:rsid w:val="00714C1C"/>
  </w:style>
  <w:style w:type="character" w:customStyle="1" w:styleId="GrussformelNameChar">
    <w:name w:val="Grussformel Name Char"/>
    <w:rsid w:val="00714C1C"/>
    <w:rPr>
      <w:rFonts w:ascii="Arial" w:hAnsi="Arial"/>
      <w:sz w:val="24"/>
      <w:lang w:val="de-CH" w:eastAsia="de-DE" w:bidi="ar-SA"/>
    </w:rPr>
  </w:style>
  <w:style w:type="character" w:customStyle="1" w:styleId="GrussformelFunktionChar">
    <w:name w:val="Grussformel Funktion Char"/>
    <w:rsid w:val="00714C1C"/>
    <w:rPr>
      <w:rFonts w:ascii="Arial" w:hAnsi="Arial"/>
      <w:sz w:val="24"/>
      <w:lang w:val="de-CH" w:eastAsia="de-DE" w:bidi="ar-SA"/>
    </w:rPr>
  </w:style>
  <w:style w:type="paragraph" w:customStyle="1" w:styleId="Kopfzeile2Seite2Zeile">
    <w:name w:val="Kopfzeile 2. Seite 2. Zeile"/>
    <w:basedOn w:val="Standard"/>
    <w:rsid w:val="00714C1C"/>
    <w:pPr>
      <w:tabs>
        <w:tab w:val="left" w:pos="8592"/>
      </w:tabs>
      <w:spacing w:before="360"/>
    </w:pPr>
    <w:rPr>
      <w:sz w:val="18"/>
    </w:rPr>
  </w:style>
  <w:style w:type="paragraph" w:styleId="Blocktext">
    <w:name w:val="Block Text"/>
    <w:basedOn w:val="Standard"/>
    <w:rsid w:val="00714C1C"/>
    <w:pPr>
      <w:widowControl w:val="0"/>
      <w:ind w:left="284" w:right="283"/>
      <w:jc w:val="both"/>
    </w:pPr>
    <w:rPr>
      <w:color w:val="000000"/>
    </w:rPr>
  </w:style>
  <w:style w:type="character" w:styleId="BesuchterHyperlink">
    <w:name w:val="FollowedHyperlink"/>
    <w:rsid w:val="00714C1C"/>
    <w:rPr>
      <w:color w:val="800080"/>
      <w:u w:val="single"/>
    </w:rPr>
  </w:style>
  <w:style w:type="paragraph" w:styleId="Verzeichnis1">
    <w:name w:val="toc 1"/>
    <w:basedOn w:val="Standard"/>
    <w:next w:val="Standard"/>
    <w:autoRedefine/>
    <w:uiPriority w:val="39"/>
    <w:rsid w:val="00714C1C"/>
    <w:pPr>
      <w:tabs>
        <w:tab w:val="right" w:pos="9072"/>
      </w:tabs>
      <w:overflowPunct/>
      <w:autoSpaceDE/>
      <w:autoSpaceDN/>
      <w:adjustRightInd/>
      <w:spacing w:before="120"/>
      <w:ind w:left="426" w:right="-567" w:hanging="426"/>
      <w:jc w:val="both"/>
      <w:textAlignment w:val="auto"/>
    </w:pPr>
    <w:rPr>
      <w:b/>
      <w:noProof/>
      <w:szCs w:val="28"/>
    </w:rPr>
  </w:style>
  <w:style w:type="paragraph" w:styleId="Verzeichnis2">
    <w:name w:val="toc 2"/>
    <w:basedOn w:val="Standard"/>
    <w:next w:val="Standard"/>
    <w:autoRedefine/>
    <w:uiPriority w:val="39"/>
    <w:rsid w:val="00714C1C"/>
    <w:pPr>
      <w:tabs>
        <w:tab w:val="left" w:pos="1021"/>
        <w:tab w:val="left" w:pos="1560"/>
        <w:tab w:val="right" w:leader="dot" w:pos="9072"/>
      </w:tabs>
      <w:overflowPunct/>
      <w:autoSpaceDE/>
      <w:autoSpaceDN/>
      <w:adjustRightInd/>
      <w:spacing w:before="60"/>
      <w:ind w:left="454"/>
      <w:jc w:val="both"/>
      <w:textAlignment w:val="auto"/>
    </w:pPr>
    <w:rPr>
      <w:noProof/>
      <w:sz w:val="20"/>
      <w:szCs w:val="24"/>
    </w:rPr>
  </w:style>
  <w:style w:type="paragraph" w:styleId="Verzeichnis3">
    <w:name w:val="toc 3"/>
    <w:basedOn w:val="Standard"/>
    <w:next w:val="Standard"/>
    <w:autoRedefine/>
    <w:uiPriority w:val="39"/>
    <w:rsid w:val="004760A9"/>
    <w:pPr>
      <w:tabs>
        <w:tab w:val="left" w:pos="720"/>
        <w:tab w:val="left" w:pos="1680"/>
        <w:tab w:val="right" w:leader="dot" w:pos="9072"/>
      </w:tabs>
      <w:overflowPunct/>
      <w:autoSpaceDE/>
      <w:autoSpaceDN/>
      <w:adjustRightInd/>
      <w:spacing w:before="20" w:after="20"/>
      <w:ind w:left="993"/>
      <w:jc w:val="both"/>
      <w:textAlignment w:val="auto"/>
    </w:pPr>
    <w:rPr>
      <w:noProof/>
      <w:sz w:val="20"/>
      <w:szCs w:val="22"/>
    </w:rPr>
  </w:style>
  <w:style w:type="paragraph" w:customStyle="1" w:styleId="Aufz2">
    <w:name w:val="Aufz2"/>
    <w:basedOn w:val="Standard"/>
    <w:rsid w:val="0087393A"/>
    <w:pPr>
      <w:numPr>
        <w:numId w:val="12"/>
      </w:numPr>
      <w:overflowPunct/>
      <w:autoSpaceDE/>
      <w:autoSpaceDN/>
      <w:adjustRightInd/>
      <w:textAlignment w:val="auto"/>
    </w:pPr>
    <w:rPr>
      <w:szCs w:val="22"/>
      <w:lang w:eastAsia="de-CH"/>
    </w:rPr>
  </w:style>
  <w:style w:type="paragraph" w:styleId="Funotentext">
    <w:name w:val="footnote text"/>
    <w:basedOn w:val="Standard"/>
    <w:link w:val="FunotentextZchn"/>
    <w:uiPriority w:val="99"/>
    <w:rsid w:val="00714C1C"/>
    <w:rPr>
      <w:sz w:val="18"/>
    </w:rPr>
  </w:style>
  <w:style w:type="character" w:styleId="Funotenzeichen">
    <w:name w:val="footnote reference"/>
    <w:uiPriority w:val="99"/>
    <w:rsid w:val="00714C1C"/>
    <w:rPr>
      <w:rFonts w:ascii="Arial" w:hAnsi="Arial"/>
      <w:vertAlign w:val="superscript"/>
    </w:rPr>
  </w:style>
  <w:style w:type="paragraph" w:styleId="Sprechblasentext">
    <w:name w:val="Balloon Text"/>
    <w:basedOn w:val="Standard"/>
    <w:semiHidden/>
    <w:rsid w:val="00714C1C"/>
    <w:rPr>
      <w:rFonts w:ascii="Tahoma" w:hAnsi="Tahoma" w:cs="Tahoma"/>
      <w:sz w:val="16"/>
      <w:szCs w:val="16"/>
    </w:rPr>
  </w:style>
  <w:style w:type="character" w:customStyle="1" w:styleId="highlight">
    <w:name w:val="highlight"/>
    <w:basedOn w:val="Absatz-Standardschriftart"/>
    <w:rsid w:val="00714C1C"/>
  </w:style>
  <w:style w:type="paragraph" w:styleId="Untertitel">
    <w:name w:val="Subtitle"/>
    <w:basedOn w:val="Standard"/>
    <w:next w:val="Textkrper"/>
    <w:qFormat/>
    <w:rsid w:val="00714C1C"/>
    <w:pPr>
      <w:spacing w:before="120" w:after="120"/>
      <w:textAlignment w:val="auto"/>
    </w:pPr>
    <w:rPr>
      <w:rFonts w:cs="Arial"/>
      <w:b/>
      <w:sz w:val="24"/>
      <w:szCs w:val="24"/>
    </w:rPr>
  </w:style>
  <w:style w:type="paragraph" w:styleId="Titel">
    <w:name w:val="Title"/>
    <w:basedOn w:val="Standard"/>
    <w:next w:val="Textkrper"/>
    <w:qFormat/>
    <w:rsid w:val="00714C1C"/>
    <w:pPr>
      <w:spacing w:before="240" w:after="240"/>
    </w:pPr>
    <w:rPr>
      <w:rFonts w:cs="Arial"/>
      <w:b/>
      <w:bCs/>
      <w:kern w:val="28"/>
      <w:sz w:val="30"/>
      <w:szCs w:val="32"/>
    </w:rPr>
  </w:style>
  <w:style w:type="paragraph" w:styleId="HTMLVorformatiert">
    <w:name w:val="HTML Preformatted"/>
    <w:basedOn w:val="Standard"/>
    <w:link w:val="HTMLVorformatiertZchn"/>
    <w:uiPriority w:val="99"/>
    <w:rsid w:val="0071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de-DE"/>
    </w:rPr>
  </w:style>
  <w:style w:type="paragraph" w:customStyle="1" w:styleId="Brieftext">
    <w:name w:val="Brieftext"/>
    <w:basedOn w:val="Standard"/>
    <w:rsid w:val="00714C1C"/>
    <w:pPr>
      <w:tabs>
        <w:tab w:val="left" w:pos="851"/>
        <w:tab w:val="left" w:pos="5103"/>
      </w:tabs>
      <w:overflowPunct/>
      <w:autoSpaceDE/>
      <w:autoSpaceDN/>
      <w:adjustRightInd/>
      <w:spacing w:line="280" w:lineRule="exact"/>
      <w:textAlignment w:val="auto"/>
    </w:pPr>
    <w:rPr>
      <w:b/>
      <w:sz w:val="24"/>
      <w:szCs w:val="24"/>
    </w:rPr>
  </w:style>
  <w:style w:type="paragraph" w:customStyle="1" w:styleId="05-Grundschrift">
    <w:name w:val="05-Grundschrift"/>
    <w:basedOn w:val="Standard"/>
    <w:rsid w:val="00714C1C"/>
    <w:pPr>
      <w:tabs>
        <w:tab w:val="right" w:pos="6407"/>
      </w:tabs>
      <w:overflowPunct/>
      <w:autoSpaceDE/>
      <w:autoSpaceDN/>
      <w:adjustRightInd/>
      <w:spacing w:line="213" w:lineRule="atLeast"/>
      <w:textAlignment w:val="auto"/>
    </w:pPr>
    <w:rPr>
      <w:rFonts w:ascii="Times New Roman" w:hAnsi="Times New Roman"/>
      <w:sz w:val="18"/>
      <w:szCs w:val="18"/>
    </w:rPr>
  </w:style>
  <w:style w:type="paragraph" w:customStyle="1" w:styleId="1">
    <w:name w:val="1"/>
    <w:basedOn w:val="Brieftext"/>
    <w:next w:val="Gruformel"/>
    <w:rsid w:val="00714C1C"/>
    <w:pPr>
      <w:spacing w:line="240" w:lineRule="auto"/>
    </w:pPr>
  </w:style>
  <w:style w:type="paragraph" w:styleId="Textkrper-Zeileneinzug">
    <w:name w:val="Body Text Indent"/>
    <w:basedOn w:val="Standard"/>
    <w:rsid w:val="00714C1C"/>
    <w:pPr>
      <w:ind w:left="-108"/>
      <w:jc w:val="both"/>
    </w:pPr>
    <w:rPr>
      <w:rFonts w:cs="Arial"/>
      <w:szCs w:val="22"/>
    </w:rPr>
  </w:style>
  <w:style w:type="paragraph" w:styleId="Textkrper-Einzug2">
    <w:name w:val="Body Text Indent 2"/>
    <w:basedOn w:val="Standard"/>
    <w:rsid w:val="00714C1C"/>
    <w:pPr>
      <w:spacing w:after="120" w:line="480" w:lineRule="auto"/>
      <w:ind w:left="283"/>
    </w:pPr>
  </w:style>
  <w:style w:type="paragraph" w:customStyle="1" w:styleId="RR-weiterer-Beschluss">
    <w:name w:val="RR-weiterer-Beschluss"/>
    <w:basedOn w:val="Standard"/>
    <w:rsid w:val="00714C1C"/>
    <w:pPr>
      <w:tabs>
        <w:tab w:val="left" w:pos="540"/>
      </w:tabs>
      <w:overflowPunct/>
      <w:autoSpaceDE/>
      <w:autoSpaceDN/>
      <w:adjustRightInd/>
      <w:spacing w:after="120"/>
      <w:ind w:left="1080" w:hanging="540"/>
      <w:jc w:val="both"/>
      <w:textAlignment w:val="auto"/>
    </w:pPr>
    <w:rPr>
      <w:rFonts w:cs="Arial"/>
      <w:sz w:val="24"/>
      <w:szCs w:val="24"/>
    </w:rPr>
  </w:style>
  <w:style w:type="paragraph" w:styleId="Textkrper3">
    <w:name w:val="Body Text 3"/>
    <w:basedOn w:val="Standard"/>
    <w:rsid w:val="00714C1C"/>
    <w:pPr>
      <w:spacing w:after="120"/>
    </w:pPr>
    <w:rPr>
      <w:sz w:val="16"/>
      <w:szCs w:val="16"/>
    </w:rPr>
  </w:style>
  <w:style w:type="paragraph" w:customStyle="1" w:styleId="Formatvorlage1">
    <w:name w:val="Formatvorlage1"/>
    <w:basedOn w:val="berschrift1"/>
    <w:rsid w:val="00714C1C"/>
    <w:rPr>
      <w:sz w:val="22"/>
      <w:szCs w:val="22"/>
      <w:lang w:val="de-DE"/>
    </w:rPr>
  </w:style>
  <w:style w:type="paragraph" w:customStyle="1" w:styleId="Formatvorlage2">
    <w:name w:val="Formatvorlage2"/>
    <w:basedOn w:val="berschrift1"/>
    <w:autoRedefine/>
    <w:rsid w:val="00714C1C"/>
    <w:pPr>
      <w:ind w:left="992" w:hanging="992"/>
    </w:pPr>
    <w:rPr>
      <w:sz w:val="22"/>
      <w:szCs w:val="22"/>
      <w:lang w:val="de-DE"/>
    </w:rPr>
  </w:style>
  <w:style w:type="paragraph" w:styleId="StandardWeb">
    <w:name w:val="Normal (Web)"/>
    <w:basedOn w:val="Standard"/>
    <w:uiPriority w:val="99"/>
    <w:rsid w:val="00714C1C"/>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ufzhlungszeichen">
    <w:name w:val="List Bullet"/>
    <w:basedOn w:val="Standard"/>
    <w:autoRedefine/>
    <w:rsid w:val="00714C1C"/>
    <w:pPr>
      <w:numPr>
        <w:numId w:val="1"/>
      </w:numPr>
    </w:pPr>
  </w:style>
  <w:style w:type="paragraph" w:customStyle="1" w:styleId="Nummerierung1">
    <w:name w:val="Nummerierung 1"/>
    <w:basedOn w:val="Textkrper"/>
    <w:rsid w:val="00714C1C"/>
    <w:pPr>
      <w:numPr>
        <w:numId w:val="6"/>
      </w:numPr>
      <w:tabs>
        <w:tab w:val="clear" w:pos="851"/>
        <w:tab w:val="left" w:pos="425"/>
      </w:tabs>
      <w:overflowPunct/>
      <w:autoSpaceDE/>
      <w:autoSpaceDN/>
      <w:adjustRightInd/>
      <w:spacing w:after="120" w:line="240" w:lineRule="auto"/>
      <w:ind w:left="425" w:hanging="425"/>
      <w:jc w:val="left"/>
      <w:textAlignment w:val="auto"/>
    </w:pPr>
  </w:style>
  <w:style w:type="paragraph" w:customStyle="1" w:styleId="Aufzhlung1">
    <w:name w:val="Aufzählung 1"/>
    <w:basedOn w:val="Textkrper"/>
    <w:rsid w:val="00714C1C"/>
    <w:pPr>
      <w:numPr>
        <w:numId w:val="4"/>
      </w:numPr>
      <w:overflowPunct/>
      <w:autoSpaceDE/>
      <w:autoSpaceDN/>
      <w:adjustRightInd/>
      <w:spacing w:after="120" w:line="240" w:lineRule="auto"/>
      <w:jc w:val="left"/>
      <w:textAlignment w:val="auto"/>
    </w:pPr>
  </w:style>
  <w:style w:type="paragraph" w:customStyle="1" w:styleId="Nummerierung2">
    <w:name w:val="Nummerierung 2"/>
    <w:basedOn w:val="Textkrper"/>
    <w:rsid w:val="00714C1C"/>
    <w:pPr>
      <w:numPr>
        <w:numId w:val="7"/>
      </w:numPr>
      <w:overflowPunct/>
      <w:autoSpaceDE/>
      <w:autoSpaceDN/>
      <w:adjustRightInd/>
      <w:spacing w:after="120" w:line="240" w:lineRule="auto"/>
      <w:jc w:val="left"/>
      <w:textAlignment w:val="auto"/>
    </w:pPr>
  </w:style>
  <w:style w:type="paragraph" w:customStyle="1" w:styleId="Nummerierung3">
    <w:name w:val="Nummerierung 3"/>
    <w:basedOn w:val="Textkrper"/>
    <w:rsid w:val="00714C1C"/>
    <w:pPr>
      <w:numPr>
        <w:numId w:val="8"/>
      </w:numPr>
      <w:tabs>
        <w:tab w:val="clear" w:pos="1571"/>
        <w:tab w:val="left" w:pos="1276"/>
      </w:tabs>
      <w:overflowPunct/>
      <w:autoSpaceDE/>
      <w:autoSpaceDN/>
      <w:adjustRightInd/>
      <w:spacing w:after="120" w:line="240" w:lineRule="auto"/>
      <w:jc w:val="left"/>
      <w:textAlignment w:val="auto"/>
    </w:pPr>
  </w:style>
  <w:style w:type="paragraph" w:customStyle="1" w:styleId="Aufzhlung2">
    <w:name w:val="Aufzählung 2"/>
    <w:basedOn w:val="Textkrper"/>
    <w:rsid w:val="00714C1C"/>
    <w:pPr>
      <w:numPr>
        <w:numId w:val="3"/>
      </w:numPr>
      <w:overflowPunct/>
      <w:autoSpaceDE/>
      <w:autoSpaceDN/>
      <w:adjustRightInd/>
      <w:spacing w:after="120" w:line="240" w:lineRule="auto"/>
      <w:jc w:val="left"/>
      <w:textAlignment w:val="auto"/>
    </w:pPr>
  </w:style>
  <w:style w:type="paragraph" w:customStyle="1" w:styleId="Aufzhlung3">
    <w:name w:val="Aufzählung 3"/>
    <w:basedOn w:val="Textkrper"/>
    <w:rsid w:val="00714C1C"/>
    <w:pPr>
      <w:numPr>
        <w:numId w:val="5"/>
      </w:numPr>
      <w:overflowPunct/>
      <w:autoSpaceDE/>
      <w:autoSpaceDN/>
      <w:adjustRightInd/>
      <w:spacing w:after="120" w:line="240" w:lineRule="auto"/>
      <w:jc w:val="left"/>
      <w:textAlignment w:val="auto"/>
    </w:pPr>
  </w:style>
  <w:style w:type="paragraph" w:customStyle="1" w:styleId="berschrift1Brief">
    <w:name w:val="Überschrift 1 Brief"/>
    <w:basedOn w:val="berschrift1"/>
    <w:next w:val="Textkrper"/>
    <w:rsid w:val="00714C1C"/>
    <w:pPr>
      <w:keepLines/>
      <w:numPr>
        <w:numId w:val="9"/>
      </w:numPr>
      <w:tabs>
        <w:tab w:val="clear" w:pos="432"/>
        <w:tab w:val="left" w:pos="1134"/>
      </w:tabs>
      <w:overflowPunct/>
      <w:autoSpaceDE/>
      <w:autoSpaceDN/>
      <w:adjustRightInd/>
      <w:spacing w:before="240" w:after="240"/>
      <w:ind w:left="1134" w:hanging="1134"/>
      <w:textAlignment w:val="auto"/>
    </w:pPr>
    <w:rPr>
      <w:rFonts w:cs="Times New Roman"/>
      <w:bCs w:val="0"/>
      <w:kern w:val="0"/>
      <w:sz w:val="22"/>
      <w:szCs w:val="20"/>
    </w:rPr>
  </w:style>
  <w:style w:type="paragraph" w:customStyle="1" w:styleId="berschrift2Brief">
    <w:name w:val="Überschrift 2 Brief"/>
    <w:basedOn w:val="berschrift2"/>
    <w:next w:val="Textkrper"/>
    <w:rsid w:val="00714C1C"/>
    <w:pPr>
      <w:keepLines/>
      <w:numPr>
        <w:numId w:val="9"/>
      </w:numPr>
      <w:tabs>
        <w:tab w:val="clear" w:pos="576"/>
        <w:tab w:val="clear" w:pos="992"/>
        <w:tab w:val="left" w:pos="1134"/>
        <w:tab w:val="num" w:pos="1440"/>
      </w:tabs>
      <w:overflowPunct/>
      <w:autoSpaceDE/>
      <w:autoSpaceDN/>
      <w:adjustRightInd/>
      <w:spacing w:before="120" w:after="240"/>
      <w:ind w:left="1134" w:hanging="1134"/>
      <w:textAlignment w:val="auto"/>
    </w:pPr>
    <w:rPr>
      <w:rFonts w:cs="Times New Roman"/>
      <w:bCs w:val="0"/>
      <w:iCs w:val="0"/>
      <w:szCs w:val="20"/>
    </w:rPr>
  </w:style>
  <w:style w:type="paragraph" w:customStyle="1" w:styleId="ber5">
    <w:name w:val="Über5"/>
    <w:basedOn w:val="Standard"/>
    <w:rsid w:val="00714C1C"/>
    <w:pPr>
      <w:numPr>
        <w:numId w:val="10"/>
      </w:numPr>
      <w:tabs>
        <w:tab w:val="left" w:pos="993"/>
        <w:tab w:val="left" w:pos="1276"/>
        <w:tab w:val="left" w:pos="1701"/>
      </w:tabs>
      <w:overflowPunct/>
      <w:autoSpaceDE/>
      <w:autoSpaceDN/>
      <w:adjustRightInd/>
      <w:spacing w:line="360" w:lineRule="auto"/>
      <w:textAlignment w:val="auto"/>
    </w:pPr>
    <w:rPr>
      <w:sz w:val="28"/>
      <w:lang w:eastAsia="de-CH"/>
    </w:rPr>
  </w:style>
  <w:style w:type="paragraph" w:customStyle="1" w:styleId="Aufzhlung">
    <w:name w:val="Aufzählung"/>
    <w:basedOn w:val="Standard"/>
    <w:rsid w:val="00714C1C"/>
    <w:pPr>
      <w:widowControl w:val="0"/>
      <w:numPr>
        <w:numId w:val="11"/>
      </w:numPr>
      <w:spacing w:before="120"/>
    </w:pPr>
    <w:rPr>
      <w:rFonts w:ascii="Times New Roman" w:hAnsi="Times New Roman"/>
    </w:rPr>
  </w:style>
  <w:style w:type="paragraph" w:styleId="Textkrper-Einzug3">
    <w:name w:val="Body Text Indent 3"/>
    <w:basedOn w:val="Standard"/>
    <w:rsid w:val="00714C1C"/>
    <w:pPr>
      <w:ind w:left="1416"/>
      <w:jc w:val="both"/>
    </w:pPr>
    <w:rPr>
      <w:sz w:val="24"/>
    </w:rPr>
  </w:style>
  <w:style w:type="paragraph" w:customStyle="1" w:styleId="Pfeil1">
    <w:name w:val="Pfeil 1"/>
    <w:basedOn w:val="Fuzeile"/>
    <w:rsid w:val="00714C1C"/>
    <w:pPr>
      <w:tabs>
        <w:tab w:val="clear" w:pos="4536"/>
        <w:tab w:val="clear" w:pos="9072"/>
      </w:tabs>
      <w:overflowPunct/>
      <w:autoSpaceDE/>
      <w:autoSpaceDN/>
      <w:adjustRightInd/>
      <w:spacing w:before="200" w:after="80"/>
      <w:textAlignment w:val="auto"/>
    </w:pPr>
    <w:rPr>
      <w:rFonts w:ascii="Wingdings 3" w:hAnsi="Wingdings 3"/>
      <w:sz w:val="22"/>
      <w:szCs w:val="24"/>
    </w:rPr>
  </w:style>
  <w:style w:type="character" w:styleId="Kommentarzeichen">
    <w:name w:val="annotation reference"/>
    <w:rsid w:val="00714C1C"/>
    <w:rPr>
      <w:sz w:val="16"/>
      <w:szCs w:val="16"/>
    </w:rPr>
  </w:style>
  <w:style w:type="paragraph" w:styleId="Kommentartext">
    <w:name w:val="annotation text"/>
    <w:basedOn w:val="Standard"/>
    <w:link w:val="KommentartextZchn"/>
    <w:rsid w:val="00714C1C"/>
    <w:rPr>
      <w:sz w:val="20"/>
    </w:rPr>
  </w:style>
  <w:style w:type="paragraph" w:customStyle="1" w:styleId="xl24">
    <w:name w:val="xl24"/>
    <w:basedOn w:val="Standard"/>
    <w:rsid w:val="00714C1C"/>
    <w:pPr>
      <w:pBdr>
        <w:bottom w:val="single" w:sz="4" w:space="0" w:color="auto"/>
        <w:right w:val="single" w:sz="4" w:space="0" w:color="auto"/>
      </w:pBdr>
      <w:overflowPunct/>
      <w:autoSpaceDE/>
      <w:autoSpaceDN/>
      <w:adjustRightInd/>
      <w:spacing w:before="100" w:beforeAutospacing="1" w:after="100" w:afterAutospacing="1"/>
      <w:jc w:val="both"/>
      <w:textAlignment w:val="top"/>
    </w:pPr>
    <w:rPr>
      <w:rFonts w:eastAsia="Arial Unicode MS" w:cs="Arial"/>
      <w:sz w:val="18"/>
      <w:szCs w:val="18"/>
    </w:rPr>
  </w:style>
  <w:style w:type="paragraph" w:customStyle="1" w:styleId="xl25">
    <w:name w:val="xl25"/>
    <w:basedOn w:val="Standard"/>
    <w:rsid w:val="00714C1C"/>
    <w:pPr>
      <w:overflowPunct/>
      <w:autoSpaceDE/>
      <w:autoSpaceDN/>
      <w:adjustRightInd/>
      <w:spacing w:before="100" w:beforeAutospacing="1" w:after="100" w:afterAutospacing="1"/>
      <w:jc w:val="right"/>
      <w:textAlignment w:val="auto"/>
    </w:pPr>
    <w:rPr>
      <w:rFonts w:ascii="Helvetica" w:eastAsia="Arial Unicode MS" w:hAnsi="Helvetica" w:cs="Helvetica"/>
      <w:sz w:val="24"/>
      <w:szCs w:val="24"/>
    </w:rPr>
  </w:style>
  <w:style w:type="paragraph" w:customStyle="1" w:styleId="xl26">
    <w:name w:val="xl26"/>
    <w:basedOn w:val="Standard"/>
    <w:rsid w:val="00714C1C"/>
    <w:pPr>
      <w:overflowPunct/>
      <w:autoSpaceDE/>
      <w:autoSpaceDN/>
      <w:adjustRightInd/>
      <w:spacing w:before="100" w:beforeAutospacing="1" w:after="100" w:afterAutospacing="1"/>
      <w:textAlignment w:val="auto"/>
    </w:pPr>
    <w:rPr>
      <w:rFonts w:ascii="Helvetica" w:eastAsia="Arial Unicode MS" w:hAnsi="Helvetica" w:cs="Helvetica"/>
      <w:sz w:val="24"/>
      <w:szCs w:val="24"/>
    </w:rPr>
  </w:style>
  <w:style w:type="paragraph" w:customStyle="1" w:styleId="xl27">
    <w:name w:val="xl27"/>
    <w:basedOn w:val="Standard"/>
    <w:rsid w:val="00714C1C"/>
    <w:pPr>
      <w:overflowPunct/>
      <w:autoSpaceDE/>
      <w:autoSpaceDN/>
      <w:adjustRightInd/>
      <w:spacing w:before="100" w:beforeAutospacing="1" w:after="100" w:afterAutospacing="1"/>
      <w:jc w:val="right"/>
      <w:textAlignment w:val="auto"/>
    </w:pPr>
    <w:rPr>
      <w:rFonts w:ascii="Helvetica" w:eastAsia="Arial Unicode MS" w:hAnsi="Helvetica" w:cs="Helvetica"/>
      <w:sz w:val="24"/>
      <w:szCs w:val="24"/>
    </w:rPr>
  </w:style>
  <w:style w:type="paragraph" w:customStyle="1" w:styleId="xl28">
    <w:name w:val="xl28"/>
    <w:basedOn w:val="Standard"/>
    <w:rsid w:val="00714C1C"/>
    <w:pPr>
      <w:shd w:val="clear" w:color="auto" w:fill="FFFF00"/>
      <w:overflowPunct/>
      <w:autoSpaceDE/>
      <w:autoSpaceDN/>
      <w:adjustRightInd/>
      <w:spacing w:before="100" w:beforeAutospacing="1" w:after="100" w:afterAutospacing="1"/>
      <w:textAlignment w:val="auto"/>
    </w:pPr>
    <w:rPr>
      <w:rFonts w:ascii="Helvetica" w:eastAsia="Arial Unicode MS" w:hAnsi="Helvetica" w:cs="Helvetica"/>
      <w:sz w:val="24"/>
      <w:szCs w:val="24"/>
    </w:rPr>
  </w:style>
  <w:style w:type="paragraph" w:customStyle="1" w:styleId="Listenabsatz1">
    <w:name w:val="Listenabsatz1"/>
    <w:basedOn w:val="Standard"/>
    <w:qFormat/>
    <w:rsid w:val="00714C1C"/>
    <w:pPr>
      <w:overflowPunct/>
      <w:autoSpaceDE/>
      <w:autoSpaceDN/>
      <w:adjustRightInd/>
      <w:spacing w:after="200" w:line="276" w:lineRule="auto"/>
      <w:ind w:left="720"/>
      <w:textAlignment w:val="auto"/>
    </w:pPr>
    <w:rPr>
      <w:rFonts w:ascii="Calibri" w:eastAsia="Calibri" w:hAnsi="Calibri"/>
      <w:szCs w:val="22"/>
      <w:lang w:val="de-DE" w:eastAsia="en-US"/>
    </w:rPr>
  </w:style>
  <w:style w:type="character" w:customStyle="1" w:styleId="berschrift1Zchn">
    <w:name w:val="Überschrift 1 Zchn"/>
    <w:rsid w:val="00714C1C"/>
    <w:rPr>
      <w:rFonts w:ascii="Arial" w:eastAsia="Times New Roman" w:hAnsi="Arial" w:cs="Arial"/>
      <w:b/>
      <w:bCs/>
      <w:kern w:val="32"/>
      <w:sz w:val="26"/>
      <w:szCs w:val="26"/>
      <w:lang w:val="de-CH" w:eastAsia="de-DE"/>
    </w:rPr>
  </w:style>
  <w:style w:type="paragraph" w:styleId="Kommentarthema">
    <w:name w:val="annotation subject"/>
    <w:basedOn w:val="Kommentartext"/>
    <w:next w:val="Kommentartext"/>
    <w:semiHidden/>
    <w:rsid w:val="00714C1C"/>
    <w:rPr>
      <w:b/>
      <w:bCs/>
    </w:rPr>
  </w:style>
  <w:style w:type="paragraph" w:customStyle="1" w:styleId="TabelleInhalt">
    <w:name w:val="Tabelle Inhalt"/>
    <w:basedOn w:val="Standard"/>
    <w:rsid w:val="00714C1C"/>
    <w:pPr>
      <w:keepLines/>
      <w:overflowPunct/>
      <w:autoSpaceDE/>
      <w:autoSpaceDN/>
      <w:adjustRightInd/>
      <w:spacing w:before="60" w:after="60"/>
      <w:textAlignment w:val="auto"/>
    </w:pPr>
    <w:rPr>
      <w:sz w:val="18"/>
    </w:rPr>
  </w:style>
  <w:style w:type="paragraph" w:styleId="Verzeichnis4">
    <w:name w:val="toc 4"/>
    <w:basedOn w:val="Standard"/>
    <w:next w:val="Standard"/>
    <w:autoRedefine/>
    <w:semiHidden/>
    <w:rsid w:val="00714C1C"/>
    <w:pPr>
      <w:overflowPunct/>
      <w:autoSpaceDE/>
      <w:autoSpaceDN/>
      <w:adjustRightInd/>
      <w:ind w:left="720"/>
      <w:textAlignment w:val="auto"/>
    </w:pPr>
    <w:rPr>
      <w:rFonts w:ascii="Times New Roman" w:hAnsi="Times New Roman"/>
      <w:sz w:val="24"/>
      <w:szCs w:val="24"/>
    </w:rPr>
  </w:style>
  <w:style w:type="paragraph" w:styleId="Verzeichnis5">
    <w:name w:val="toc 5"/>
    <w:basedOn w:val="Standard"/>
    <w:next w:val="Standard"/>
    <w:autoRedefine/>
    <w:semiHidden/>
    <w:rsid w:val="00714C1C"/>
    <w:pPr>
      <w:overflowPunct/>
      <w:autoSpaceDE/>
      <w:autoSpaceDN/>
      <w:adjustRightInd/>
      <w:ind w:left="960"/>
      <w:textAlignment w:val="auto"/>
    </w:pPr>
    <w:rPr>
      <w:rFonts w:ascii="Times New Roman" w:hAnsi="Times New Roman"/>
      <w:sz w:val="24"/>
      <w:szCs w:val="24"/>
    </w:rPr>
  </w:style>
  <w:style w:type="paragraph" w:styleId="Verzeichnis6">
    <w:name w:val="toc 6"/>
    <w:basedOn w:val="Standard"/>
    <w:next w:val="Standard"/>
    <w:autoRedefine/>
    <w:semiHidden/>
    <w:rsid w:val="00714C1C"/>
    <w:pPr>
      <w:overflowPunct/>
      <w:autoSpaceDE/>
      <w:autoSpaceDN/>
      <w:adjustRightInd/>
      <w:ind w:left="1200"/>
      <w:textAlignment w:val="auto"/>
    </w:pPr>
    <w:rPr>
      <w:rFonts w:ascii="Times New Roman" w:hAnsi="Times New Roman"/>
      <w:sz w:val="24"/>
      <w:szCs w:val="24"/>
    </w:rPr>
  </w:style>
  <w:style w:type="paragraph" w:styleId="Verzeichnis7">
    <w:name w:val="toc 7"/>
    <w:basedOn w:val="Standard"/>
    <w:next w:val="Standard"/>
    <w:autoRedefine/>
    <w:semiHidden/>
    <w:rsid w:val="00714C1C"/>
    <w:pPr>
      <w:overflowPunct/>
      <w:autoSpaceDE/>
      <w:autoSpaceDN/>
      <w:adjustRightInd/>
      <w:ind w:left="1440"/>
      <w:textAlignment w:val="auto"/>
    </w:pPr>
    <w:rPr>
      <w:rFonts w:ascii="Times New Roman" w:hAnsi="Times New Roman"/>
      <w:sz w:val="24"/>
      <w:szCs w:val="24"/>
    </w:rPr>
  </w:style>
  <w:style w:type="paragraph" w:styleId="Verzeichnis8">
    <w:name w:val="toc 8"/>
    <w:basedOn w:val="Standard"/>
    <w:next w:val="Standard"/>
    <w:autoRedefine/>
    <w:semiHidden/>
    <w:rsid w:val="00714C1C"/>
    <w:pPr>
      <w:overflowPunct/>
      <w:autoSpaceDE/>
      <w:autoSpaceDN/>
      <w:adjustRightInd/>
      <w:ind w:left="1680"/>
      <w:textAlignment w:val="auto"/>
    </w:pPr>
    <w:rPr>
      <w:rFonts w:ascii="Times New Roman" w:hAnsi="Times New Roman"/>
      <w:sz w:val="24"/>
      <w:szCs w:val="24"/>
    </w:rPr>
  </w:style>
  <w:style w:type="paragraph" w:styleId="Verzeichnis9">
    <w:name w:val="toc 9"/>
    <w:basedOn w:val="Standard"/>
    <w:next w:val="Standard"/>
    <w:autoRedefine/>
    <w:semiHidden/>
    <w:rsid w:val="00714C1C"/>
    <w:pPr>
      <w:overflowPunct/>
      <w:autoSpaceDE/>
      <w:autoSpaceDN/>
      <w:adjustRightInd/>
      <w:ind w:left="1920"/>
      <w:textAlignment w:val="auto"/>
    </w:pPr>
    <w:rPr>
      <w:rFonts w:ascii="Times New Roman" w:hAnsi="Times New Roman"/>
      <w:sz w:val="24"/>
      <w:szCs w:val="24"/>
    </w:rPr>
  </w:style>
  <w:style w:type="paragraph" w:customStyle="1" w:styleId="CM21">
    <w:name w:val="CM21"/>
    <w:basedOn w:val="Standard"/>
    <w:next w:val="Standard"/>
    <w:rsid w:val="007651EF"/>
    <w:pPr>
      <w:widowControl w:val="0"/>
      <w:overflowPunct/>
      <w:spacing w:line="346" w:lineRule="atLeast"/>
      <w:textAlignment w:val="auto"/>
    </w:pPr>
    <w:rPr>
      <w:sz w:val="24"/>
      <w:szCs w:val="24"/>
      <w:lang w:eastAsia="de-CH"/>
    </w:rPr>
  </w:style>
  <w:style w:type="paragraph" w:customStyle="1" w:styleId="CM117">
    <w:name w:val="CM117"/>
    <w:basedOn w:val="Standard"/>
    <w:next w:val="Standard"/>
    <w:rsid w:val="007651EF"/>
    <w:pPr>
      <w:widowControl w:val="0"/>
      <w:overflowPunct/>
      <w:textAlignment w:val="auto"/>
    </w:pPr>
    <w:rPr>
      <w:sz w:val="24"/>
      <w:szCs w:val="24"/>
      <w:lang w:eastAsia="de-CH"/>
    </w:rPr>
  </w:style>
  <w:style w:type="character" w:customStyle="1" w:styleId="SC2601">
    <w:name w:val="SC2601"/>
    <w:rsid w:val="0087393A"/>
    <w:rPr>
      <w:rFonts w:cs="DMPNL P+ Times Ten"/>
      <w:color w:val="000000"/>
      <w:sz w:val="18"/>
      <w:szCs w:val="18"/>
    </w:rPr>
  </w:style>
  <w:style w:type="paragraph" w:customStyle="1" w:styleId="Aufz1">
    <w:name w:val="Aufz1"/>
    <w:basedOn w:val="Standard"/>
    <w:link w:val="Aufz1Char"/>
    <w:rsid w:val="002E115D"/>
    <w:pPr>
      <w:keepLines/>
      <w:widowControl w:val="0"/>
      <w:numPr>
        <w:numId w:val="14"/>
      </w:numPr>
      <w:tabs>
        <w:tab w:val="left" w:pos="567"/>
      </w:tabs>
      <w:overflowPunct/>
      <w:autoSpaceDE/>
      <w:autoSpaceDN/>
      <w:adjustRightInd/>
      <w:spacing w:before="60" w:after="60"/>
      <w:ind w:left="357" w:right="284" w:hanging="357"/>
      <w:textAlignment w:val="auto"/>
    </w:pPr>
  </w:style>
  <w:style w:type="paragraph" w:customStyle="1" w:styleId="Text">
    <w:name w:val="Text"/>
    <w:link w:val="TextZchn"/>
    <w:rsid w:val="002E115D"/>
    <w:pPr>
      <w:spacing w:before="60" w:after="60"/>
    </w:pPr>
    <w:rPr>
      <w:rFonts w:ascii="Arial" w:hAnsi="Arial"/>
      <w:sz w:val="22"/>
      <w:lang w:eastAsia="de-DE"/>
    </w:rPr>
  </w:style>
  <w:style w:type="character" w:customStyle="1" w:styleId="TextZchn">
    <w:name w:val="Text Zchn"/>
    <w:link w:val="Text"/>
    <w:rsid w:val="002E115D"/>
    <w:rPr>
      <w:rFonts w:ascii="Arial" w:hAnsi="Arial"/>
      <w:sz w:val="22"/>
      <w:lang w:val="de-CH" w:eastAsia="de-DE" w:bidi="ar-SA"/>
    </w:rPr>
  </w:style>
  <w:style w:type="character" w:customStyle="1" w:styleId="Aufz1Char">
    <w:name w:val="Aufz1 Char"/>
    <w:link w:val="Aufz1"/>
    <w:rsid w:val="002E115D"/>
    <w:rPr>
      <w:rFonts w:ascii="Arial" w:hAnsi="Arial"/>
      <w:sz w:val="22"/>
      <w:lang w:eastAsia="de-DE"/>
    </w:rPr>
  </w:style>
  <w:style w:type="paragraph" w:customStyle="1" w:styleId="Nummerierung">
    <w:name w:val="Nummerierung"/>
    <w:basedOn w:val="Standard"/>
    <w:rsid w:val="002E115D"/>
    <w:pPr>
      <w:numPr>
        <w:numId w:val="15"/>
      </w:numPr>
      <w:overflowPunct/>
      <w:autoSpaceDE/>
      <w:autoSpaceDN/>
      <w:adjustRightInd/>
      <w:spacing w:before="60" w:after="60"/>
      <w:textAlignment w:val="auto"/>
    </w:pPr>
  </w:style>
  <w:style w:type="table" w:styleId="Tabellengitternetz">
    <w:name w:val="Table Grid"/>
    <w:basedOn w:val="NormaleTabelle"/>
    <w:uiPriority w:val="59"/>
    <w:rsid w:val="006E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2Gesetz">
    <w:name w:val="Überschrift 2 Gesetz"/>
    <w:basedOn w:val="Textkrper"/>
    <w:rsid w:val="004760A9"/>
    <w:pPr>
      <w:numPr>
        <w:ilvl w:val="1"/>
        <w:numId w:val="13"/>
      </w:numPr>
      <w:spacing w:after="120"/>
    </w:pPr>
    <w:rPr>
      <w:rFonts w:cs="Arial"/>
      <w:b/>
      <w:szCs w:val="22"/>
      <w:u w:val="single"/>
    </w:rPr>
  </w:style>
  <w:style w:type="paragraph" w:customStyle="1" w:styleId="berschrift3Paragraf">
    <w:name w:val="Überschrift 3 Paragraf"/>
    <w:basedOn w:val="Textkrper"/>
    <w:rsid w:val="004760A9"/>
    <w:pPr>
      <w:spacing w:after="120"/>
    </w:pPr>
    <w:rPr>
      <w:rFonts w:cs="Arial"/>
      <w:b/>
      <w:szCs w:val="22"/>
    </w:rPr>
  </w:style>
  <w:style w:type="character" w:customStyle="1" w:styleId="apple-style-span">
    <w:name w:val="apple-style-span"/>
    <w:rsid w:val="00794F69"/>
  </w:style>
  <w:style w:type="character" w:customStyle="1" w:styleId="FunotentextZchn">
    <w:name w:val="Fußnotentext Zchn"/>
    <w:link w:val="Funotentext"/>
    <w:uiPriority w:val="99"/>
    <w:rsid w:val="001E0BDE"/>
    <w:rPr>
      <w:rFonts w:ascii="Arial" w:hAnsi="Arial"/>
      <w:sz w:val="22"/>
      <w:lang w:val="de-CH" w:eastAsia="de-DE" w:bidi="ar-SA"/>
    </w:rPr>
  </w:style>
  <w:style w:type="character" w:customStyle="1" w:styleId="KopfzeileZchn">
    <w:name w:val="Kopfzeile Zchn"/>
    <w:link w:val="Kopfzeile"/>
    <w:rsid w:val="001E0BDE"/>
    <w:rPr>
      <w:rFonts w:ascii="Arial" w:hAnsi="Arial"/>
      <w:sz w:val="22"/>
      <w:lang w:val="de-CH" w:eastAsia="de-DE" w:bidi="ar-SA"/>
    </w:rPr>
  </w:style>
  <w:style w:type="character" w:customStyle="1" w:styleId="ParagrafTextAbsatzZchn">
    <w:name w:val="Paragraf_Text_Absatz Zchn"/>
    <w:link w:val="ParagrafTextAbsatz"/>
    <w:rsid w:val="001E0BDE"/>
    <w:rPr>
      <w:rFonts w:ascii="Arial" w:hAnsi="Arial"/>
      <w:color w:val="000000"/>
      <w:szCs w:val="24"/>
      <w:lang w:val="de-CH" w:bidi="ar-SA"/>
    </w:rPr>
  </w:style>
  <w:style w:type="paragraph" w:customStyle="1" w:styleId="ParagrafTextAbsatz">
    <w:name w:val="Paragraf_Text_Absatz"/>
    <w:basedOn w:val="Standard"/>
    <w:link w:val="ParagrafTextAbsatzZchn"/>
    <w:rsid w:val="001E0BDE"/>
    <w:pPr>
      <w:overflowPunct/>
      <w:spacing w:before="120" w:line="280" w:lineRule="exact"/>
      <w:textAlignment w:val="auto"/>
    </w:pPr>
    <w:rPr>
      <w:color w:val="000000"/>
      <w:sz w:val="20"/>
      <w:szCs w:val="24"/>
      <w:lang w:eastAsia="de-CH"/>
    </w:rPr>
  </w:style>
  <w:style w:type="paragraph" w:customStyle="1" w:styleId="ParagrafTitel">
    <w:name w:val="Paragraf_Titel"/>
    <w:basedOn w:val="Standard"/>
    <w:link w:val="ParagrafTitelZchn"/>
    <w:rsid w:val="001E0BDE"/>
    <w:pPr>
      <w:keepNext/>
      <w:overflowPunct/>
      <w:spacing w:before="360"/>
      <w:textAlignment w:val="auto"/>
    </w:pPr>
    <w:rPr>
      <w:rFonts w:cs="Arial"/>
      <w:i/>
      <w:iCs/>
      <w:color w:val="000000"/>
      <w:sz w:val="20"/>
      <w:szCs w:val="24"/>
    </w:rPr>
  </w:style>
  <w:style w:type="character" w:customStyle="1" w:styleId="ParagrafTitelZchn">
    <w:name w:val="Paragraf_Titel Zchn"/>
    <w:link w:val="ParagrafTitel"/>
    <w:rsid w:val="001E0BDE"/>
    <w:rPr>
      <w:rFonts w:ascii="Arial" w:hAnsi="Arial" w:cs="Arial"/>
      <w:i/>
      <w:iCs/>
      <w:color w:val="000000"/>
      <w:szCs w:val="24"/>
      <w:lang w:val="de-CH" w:eastAsia="de-DE" w:bidi="ar-SA"/>
    </w:rPr>
  </w:style>
  <w:style w:type="paragraph" w:customStyle="1" w:styleId="ParagrafTextAbsatzerster">
    <w:name w:val="Paragraf_Text_Absatz_erster"/>
    <w:basedOn w:val="Standard"/>
    <w:link w:val="ParagrafTextAbsatzersterZchn"/>
    <w:qFormat/>
    <w:rsid w:val="001E0BDE"/>
    <w:pPr>
      <w:overflowPunct/>
      <w:spacing w:before="120" w:line="280" w:lineRule="atLeast"/>
      <w:ind w:firstLine="284"/>
      <w:textAlignment w:val="auto"/>
    </w:pPr>
    <w:rPr>
      <w:rFonts w:cs="Arial"/>
      <w:color w:val="000000"/>
      <w:sz w:val="20"/>
      <w:szCs w:val="24"/>
    </w:rPr>
  </w:style>
  <w:style w:type="character" w:customStyle="1" w:styleId="ParagrafTextAbsatzersterZchn">
    <w:name w:val="Paragraf_Text_Absatz_erster Zchn"/>
    <w:link w:val="ParagrafTextAbsatzerster"/>
    <w:rsid w:val="001E0BDE"/>
    <w:rPr>
      <w:rFonts w:ascii="Arial" w:hAnsi="Arial" w:cs="Arial"/>
      <w:color w:val="000000"/>
      <w:szCs w:val="24"/>
      <w:lang w:val="de-CH" w:eastAsia="de-DE" w:bidi="ar-SA"/>
    </w:rPr>
  </w:style>
  <w:style w:type="paragraph" w:customStyle="1" w:styleId="G-UeberschriftAbschnittI">
    <w:name w:val="G-Ueberschrift_Abschnitt_I"/>
    <w:basedOn w:val="Standard"/>
    <w:rsid w:val="001E0BDE"/>
    <w:pPr>
      <w:keepNext/>
      <w:overflowPunct/>
      <w:spacing w:before="360" w:after="360" w:line="280" w:lineRule="atLeast"/>
      <w:textAlignment w:val="auto"/>
    </w:pPr>
    <w:rPr>
      <w:rFonts w:cs="Arial"/>
      <w:b/>
      <w:color w:val="000000"/>
      <w:sz w:val="24"/>
      <w:szCs w:val="24"/>
    </w:rPr>
  </w:style>
  <w:style w:type="paragraph" w:customStyle="1" w:styleId="ParagrafTextBuchstabe">
    <w:name w:val="Paragraf_Text_Buchstabe"/>
    <w:basedOn w:val="ParagrafTextAbsatz"/>
    <w:link w:val="ParagrafTextBuchstabeZchn"/>
    <w:rsid w:val="001E0BDE"/>
    <w:pPr>
      <w:spacing w:line="280" w:lineRule="atLeast"/>
      <w:ind w:left="567" w:hanging="283"/>
    </w:pPr>
  </w:style>
  <w:style w:type="character" w:customStyle="1" w:styleId="ParagrafTextBuchstabeZchn">
    <w:name w:val="Paragraf_Text_Buchstabe Zchn"/>
    <w:link w:val="ParagrafTextBuchstabe"/>
    <w:rsid w:val="001E0BDE"/>
    <w:rPr>
      <w:rFonts w:ascii="Arial" w:hAnsi="Arial"/>
      <w:color w:val="000000"/>
      <w:szCs w:val="24"/>
      <w:lang w:val="de-CH" w:bidi="ar-SA"/>
    </w:rPr>
  </w:style>
  <w:style w:type="paragraph" w:customStyle="1" w:styleId="Erlass-Titel">
    <w:name w:val="Erlass-Titel"/>
    <w:basedOn w:val="G-UeberschriftAbschnittI"/>
    <w:rsid w:val="001E0BDE"/>
    <w:rPr>
      <w:sz w:val="28"/>
    </w:rPr>
  </w:style>
  <w:style w:type="paragraph" w:customStyle="1" w:styleId="AenderungbisherigenRechtsGesetzestitel">
    <w:name w:val="Aenderung_bisherigen_Rechts_Gesetzestitel"/>
    <w:basedOn w:val="Standard"/>
    <w:next w:val="Standard"/>
    <w:qFormat/>
    <w:rsid w:val="001E0BDE"/>
    <w:pPr>
      <w:keepNext/>
      <w:suppressAutoHyphens/>
      <w:overflowPunct/>
      <w:spacing w:before="480" w:line="280" w:lineRule="atLeast"/>
      <w:ind w:left="459" w:hanging="459"/>
      <w:textAlignment w:val="auto"/>
    </w:pPr>
    <w:rPr>
      <w:rFonts w:cs="Arial"/>
      <w:b/>
      <w:color w:val="000000"/>
      <w:sz w:val="20"/>
      <w:szCs w:val="24"/>
    </w:rPr>
  </w:style>
  <w:style w:type="paragraph" w:customStyle="1" w:styleId="Erlass-Datum">
    <w:name w:val="Erlass-Datum"/>
    <w:basedOn w:val="Standard"/>
    <w:rsid w:val="001E0BDE"/>
    <w:pPr>
      <w:overflowPunct/>
      <w:spacing w:before="120"/>
      <w:textAlignment w:val="auto"/>
    </w:pPr>
    <w:rPr>
      <w:rFonts w:cs="Arial"/>
      <w:color w:val="000000"/>
      <w:sz w:val="20"/>
      <w:szCs w:val="24"/>
    </w:rPr>
  </w:style>
  <w:style w:type="paragraph" w:customStyle="1" w:styleId="Erlass-Intro">
    <w:name w:val="Erlass-Intro"/>
    <w:basedOn w:val="Standard"/>
    <w:rsid w:val="001E0BDE"/>
    <w:pPr>
      <w:overflowPunct/>
      <w:spacing w:before="120"/>
      <w:textAlignment w:val="auto"/>
    </w:pPr>
    <w:rPr>
      <w:rFonts w:cs="Arial"/>
      <w:color w:val="000000"/>
      <w:sz w:val="20"/>
      <w:szCs w:val="24"/>
    </w:rPr>
  </w:style>
  <w:style w:type="paragraph" w:customStyle="1" w:styleId="G-UeberschriftUnterabschnitt1">
    <w:name w:val="G-Ueberschrift_Unterabschnitt_1"/>
    <w:basedOn w:val="ParagrafTitel"/>
    <w:rsid w:val="001E0BDE"/>
    <w:rPr>
      <w:b/>
      <w:i w:val="0"/>
      <w:color w:val="auto"/>
      <w:sz w:val="22"/>
      <w:szCs w:val="22"/>
    </w:rPr>
  </w:style>
  <w:style w:type="character" w:customStyle="1" w:styleId="verityhit">
    <w:name w:val="verityhit"/>
    <w:basedOn w:val="Absatz-Standardschriftart"/>
    <w:rsid w:val="001E0BDE"/>
  </w:style>
  <w:style w:type="character" w:customStyle="1" w:styleId="gr8">
    <w:name w:val="gr8"/>
    <w:basedOn w:val="Absatz-Standardschriftart"/>
    <w:rsid w:val="001E0BDE"/>
  </w:style>
  <w:style w:type="paragraph" w:customStyle="1" w:styleId="ListParagraph1">
    <w:name w:val="List Paragraph1"/>
    <w:basedOn w:val="Standard"/>
    <w:uiPriority w:val="34"/>
    <w:qFormat/>
    <w:rsid w:val="001E0BDE"/>
    <w:pPr>
      <w:overflowPunct/>
      <w:autoSpaceDE/>
      <w:autoSpaceDN/>
      <w:adjustRightInd/>
      <w:spacing w:after="200" w:line="276" w:lineRule="auto"/>
      <w:ind w:left="720"/>
      <w:contextualSpacing/>
      <w:textAlignment w:val="auto"/>
    </w:pPr>
    <w:rPr>
      <w:rFonts w:eastAsia="Calibri" w:cs="Arial"/>
      <w:sz w:val="20"/>
      <w:szCs w:val="22"/>
      <w:lang w:val="en-US" w:eastAsia="en-US"/>
    </w:rPr>
  </w:style>
  <w:style w:type="character" w:customStyle="1" w:styleId="HTMLVorformatiertZchn">
    <w:name w:val="HTML Vorformatiert Zchn"/>
    <w:link w:val="HTMLVorformatiert"/>
    <w:uiPriority w:val="99"/>
    <w:rsid w:val="00672319"/>
    <w:rPr>
      <w:rFonts w:ascii="Courier New" w:hAnsi="Courier New" w:cs="Courier New"/>
      <w:lang w:val="de-DE" w:eastAsia="de-DE"/>
    </w:rPr>
  </w:style>
  <w:style w:type="character" w:customStyle="1" w:styleId="TextkrperZchn">
    <w:name w:val="Textkörper Zchn"/>
    <w:link w:val="Textkrper"/>
    <w:rsid w:val="000A4E83"/>
    <w:rPr>
      <w:rFonts w:ascii="Arial" w:hAnsi="Arial"/>
      <w:sz w:val="22"/>
      <w:lang w:eastAsia="de-DE"/>
    </w:rPr>
  </w:style>
  <w:style w:type="paragraph" w:customStyle="1" w:styleId="ZchnZchn1ZchnZchnZchnZchnZchnZchn">
    <w:name w:val="Zchn Zchn1 Zchn Zchn Zchn Zchn Zchn Zchn"/>
    <w:basedOn w:val="Standard"/>
    <w:rsid w:val="000A4E83"/>
    <w:pPr>
      <w:overflowPunct/>
      <w:autoSpaceDE/>
      <w:autoSpaceDN/>
      <w:adjustRightInd/>
      <w:spacing w:after="160" w:line="240" w:lineRule="exact"/>
      <w:textAlignment w:val="auto"/>
    </w:pPr>
    <w:rPr>
      <w:sz w:val="20"/>
      <w:lang w:val="en-US" w:eastAsia="en-US"/>
    </w:rPr>
  </w:style>
  <w:style w:type="paragraph" w:customStyle="1" w:styleId="StyleCaptionArial10pt">
    <w:name w:val="Style Caption + Arial 10 pt"/>
    <w:basedOn w:val="Beschriftung"/>
    <w:rsid w:val="000A4E83"/>
    <w:pPr>
      <w:overflowPunct/>
      <w:autoSpaceDE/>
      <w:autoSpaceDN/>
      <w:adjustRightInd/>
      <w:spacing w:before="120" w:line="290" w:lineRule="atLeast"/>
      <w:textAlignment w:val="auto"/>
    </w:pPr>
    <w:rPr>
      <w:b w:val="0"/>
      <w:bCs w:val="0"/>
      <w:i/>
      <w:iCs/>
      <w:lang w:eastAsia="en-US"/>
    </w:rPr>
  </w:style>
  <w:style w:type="paragraph" w:styleId="Beschriftung">
    <w:name w:val="caption"/>
    <w:basedOn w:val="Standard"/>
    <w:next w:val="Standard"/>
    <w:qFormat/>
    <w:rsid w:val="000A4E83"/>
    <w:rPr>
      <w:b/>
      <w:bCs/>
      <w:sz w:val="20"/>
    </w:rPr>
  </w:style>
  <w:style w:type="paragraph" w:styleId="Listenabsatz">
    <w:name w:val="List Paragraph"/>
    <w:basedOn w:val="Standard"/>
    <w:uiPriority w:val="99"/>
    <w:qFormat/>
    <w:rsid w:val="000A4E83"/>
    <w:pPr>
      <w:overflowPunct/>
      <w:adjustRightInd/>
      <w:spacing w:line="290" w:lineRule="atLeast"/>
      <w:ind w:left="720"/>
      <w:contextualSpacing/>
      <w:jc w:val="both"/>
      <w:textAlignment w:val="auto"/>
    </w:pPr>
    <w:rPr>
      <w:rFonts w:cs="Arial"/>
      <w:kern w:val="20"/>
      <w:szCs w:val="24"/>
      <w:lang w:eastAsia="en-US"/>
    </w:rPr>
  </w:style>
  <w:style w:type="character" w:customStyle="1" w:styleId="ArtikelChar">
    <w:name w:val="Artikel Char"/>
    <w:link w:val="Artikel"/>
    <w:locked/>
    <w:rsid w:val="000A4E83"/>
    <w:rPr>
      <w:rFonts w:ascii="Arial" w:hAnsi="Arial" w:cs="Arial"/>
      <w:sz w:val="22"/>
      <w:lang w:eastAsia="de-DE"/>
    </w:rPr>
  </w:style>
  <w:style w:type="paragraph" w:customStyle="1" w:styleId="Artikel">
    <w:name w:val="Artikel"/>
    <w:basedOn w:val="Standard"/>
    <w:link w:val="ArtikelChar"/>
    <w:rsid w:val="000A4E83"/>
    <w:pPr>
      <w:numPr>
        <w:ilvl w:val="12"/>
      </w:numPr>
      <w:tabs>
        <w:tab w:val="left" w:pos="284"/>
      </w:tabs>
      <w:spacing w:after="120" w:line="240" w:lineRule="atLeast"/>
      <w:jc w:val="both"/>
      <w:textAlignment w:val="auto"/>
    </w:pPr>
    <w:rPr>
      <w:rFonts w:cs="Arial"/>
    </w:rPr>
  </w:style>
  <w:style w:type="character" w:customStyle="1" w:styleId="ZchnZchn4">
    <w:name w:val="Zchn Zchn4"/>
    <w:rsid w:val="00F02C16"/>
    <w:rPr>
      <w:rFonts w:ascii="Arial" w:hAnsi="Arial"/>
      <w:sz w:val="22"/>
      <w:lang w:val="de-CH" w:eastAsia="de-DE" w:bidi="ar-SA"/>
    </w:rPr>
  </w:style>
  <w:style w:type="paragraph" w:customStyle="1" w:styleId="Revision1">
    <w:name w:val="Revision1"/>
    <w:hidden/>
    <w:uiPriority w:val="99"/>
    <w:semiHidden/>
    <w:rsid w:val="008A368D"/>
    <w:rPr>
      <w:rFonts w:ascii="Arial" w:hAnsi="Arial"/>
      <w:sz w:val="22"/>
      <w:lang w:eastAsia="de-DE"/>
    </w:rPr>
  </w:style>
  <w:style w:type="paragraph" w:styleId="berarbeitung">
    <w:name w:val="Revision"/>
    <w:hidden/>
    <w:uiPriority w:val="99"/>
    <w:semiHidden/>
    <w:rsid w:val="00B21CFB"/>
    <w:rPr>
      <w:rFonts w:ascii="Arial" w:hAnsi="Arial"/>
      <w:sz w:val="22"/>
      <w:lang w:eastAsia="de-DE"/>
    </w:rPr>
  </w:style>
  <w:style w:type="character" w:customStyle="1" w:styleId="KommentartextZchn">
    <w:name w:val="Kommentartext Zchn"/>
    <w:link w:val="Kommentartext"/>
    <w:rsid w:val="00E06A45"/>
    <w:rPr>
      <w:rFonts w:ascii="Arial" w:hAnsi="Arial"/>
      <w:lang w:eastAsia="de-DE"/>
    </w:rPr>
  </w:style>
  <w:style w:type="character" w:customStyle="1" w:styleId="berschrift1Zchn1">
    <w:name w:val="Überschrift 1 Zchn1"/>
    <w:aliases w:val="Section Heading Zchn"/>
    <w:basedOn w:val="Absatz-Standardschriftart"/>
    <w:link w:val="berschrift1"/>
    <w:locked/>
    <w:rsid w:val="001B3268"/>
    <w:rPr>
      <w:rFonts w:ascii="Arial" w:hAnsi="Arial" w:cs="Arial"/>
      <w:b/>
      <w:bCs/>
      <w:kern w:val="32"/>
      <w:sz w:val="26"/>
      <w:szCs w:val="32"/>
      <w:lang w:eastAsia="de-DE"/>
    </w:rPr>
  </w:style>
  <w:style w:type="paragraph" w:customStyle="1" w:styleId="Artikel2">
    <w:name w:val="Artikel 2"/>
    <w:basedOn w:val="Artikel"/>
    <w:rsid w:val="00B918AE"/>
    <w:pPr>
      <w:tabs>
        <w:tab w:val="clear" w:pos="284"/>
        <w:tab w:val="left" w:pos="709"/>
      </w:tabs>
      <w:ind w:left="709" w:hanging="284"/>
      <w:textAlignment w:val="baseline"/>
    </w:pPr>
  </w:style>
  <w:style w:type="table" w:styleId="TabelleAktuell">
    <w:name w:val="Table Contemporary"/>
    <w:basedOn w:val="NormaleTabelle"/>
    <w:rsid w:val="00963297"/>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uiPriority w:val="99"/>
    <w:rsid w:val="00913B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E48"/>
    <w:pPr>
      <w:overflowPunct w:val="0"/>
      <w:autoSpaceDE w:val="0"/>
      <w:autoSpaceDN w:val="0"/>
      <w:adjustRightInd w:val="0"/>
      <w:textAlignment w:val="baseline"/>
    </w:pPr>
    <w:rPr>
      <w:rFonts w:ascii="Arial" w:hAnsi="Arial"/>
      <w:sz w:val="22"/>
      <w:lang w:eastAsia="de-DE"/>
    </w:rPr>
  </w:style>
  <w:style w:type="paragraph" w:styleId="Heading1">
    <w:name w:val="heading 1"/>
    <w:aliases w:val="Section Heading"/>
    <w:basedOn w:val="Normal"/>
    <w:next w:val="BodyText"/>
    <w:link w:val="Heading1Char"/>
    <w:qFormat/>
    <w:rsid w:val="003173F5"/>
    <w:pPr>
      <w:keepNext/>
      <w:numPr>
        <w:numId w:val="16"/>
      </w:numPr>
      <w:tabs>
        <w:tab w:val="left" w:pos="567"/>
      </w:tabs>
      <w:spacing w:before="480" w:after="80"/>
      <w:outlineLvl w:val="0"/>
    </w:pPr>
    <w:rPr>
      <w:rFonts w:cs="Arial"/>
      <w:b/>
      <w:bCs/>
      <w:kern w:val="32"/>
      <w:sz w:val="26"/>
      <w:szCs w:val="32"/>
    </w:rPr>
  </w:style>
  <w:style w:type="paragraph" w:styleId="Heading2">
    <w:name w:val="heading 2"/>
    <w:aliases w:val="Reset numbering"/>
    <w:basedOn w:val="Normal"/>
    <w:next w:val="BodyText"/>
    <w:qFormat/>
    <w:rsid w:val="00C3664B"/>
    <w:pPr>
      <w:keepNext/>
      <w:numPr>
        <w:ilvl w:val="1"/>
        <w:numId w:val="2"/>
      </w:numPr>
      <w:tabs>
        <w:tab w:val="left" w:pos="992"/>
      </w:tabs>
      <w:spacing w:before="400" w:after="80"/>
      <w:outlineLvl w:val="1"/>
    </w:pPr>
    <w:rPr>
      <w:rFonts w:cs="Arial"/>
      <w:b/>
      <w:bCs/>
      <w:iCs/>
      <w:szCs w:val="28"/>
    </w:rPr>
  </w:style>
  <w:style w:type="paragraph" w:styleId="Heading3">
    <w:name w:val="heading 3"/>
    <w:aliases w:val="Level 1 - 1"/>
    <w:basedOn w:val="Normal"/>
    <w:next w:val="BodyText"/>
    <w:qFormat/>
    <w:pPr>
      <w:keepNext/>
      <w:numPr>
        <w:ilvl w:val="2"/>
        <w:numId w:val="2"/>
      </w:numPr>
      <w:tabs>
        <w:tab w:val="left" w:pos="992"/>
      </w:tabs>
      <w:spacing w:before="320" w:after="80"/>
      <w:outlineLvl w:val="2"/>
    </w:pPr>
    <w:rPr>
      <w:rFonts w:cs="Arial"/>
      <w:b/>
      <w:bCs/>
      <w:szCs w:val="26"/>
    </w:rPr>
  </w:style>
  <w:style w:type="paragraph" w:styleId="Heading4">
    <w:name w:val="heading 4"/>
    <w:aliases w:val="Level 2 - a"/>
    <w:basedOn w:val="Normal"/>
    <w:next w:val="BodyText"/>
    <w:qFormat/>
    <w:pPr>
      <w:keepNext/>
      <w:numPr>
        <w:ilvl w:val="3"/>
        <w:numId w:val="2"/>
      </w:numPr>
      <w:tabs>
        <w:tab w:val="left" w:pos="992"/>
      </w:tabs>
      <w:spacing w:before="240" w:after="80"/>
      <w:outlineLvl w:val="3"/>
    </w:pPr>
    <w:rPr>
      <w:b/>
      <w:bCs/>
      <w:szCs w:val="28"/>
    </w:rPr>
  </w:style>
  <w:style w:type="paragraph" w:styleId="Heading5">
    <w:name w:val="heading 5"/>
    <w:aliases w:val="Level 3 - i"/>
    <w:basedOn w:val="Normal"/>
    <w:next w:val="Normal"/>
    <w:qFormat/>
    <w:pPr>
      <w:numPr>
        <w:ilvl w:val="4"/>
        <w:numId w:val="16"/>
      </w:numPr>
      <w:spacing w:before="240" w:after="60"/>
      <w:outlineLvl w:val="4"/>
    </w:pPr>
    <w:rPr>
      <w:b/>
      <w:bCs/>
      <w:i/>
      <w:iCs/>
      <w:sz w:val="26"/>
      <w:szCs w:val="26"/>
    </w:rPr>
  </w:style>
  <w:style w:type="paragraph" w:styleId="Heading6">
    <w:name w:val="heading 6"/>
    <w:basedOn w:val="Normal"/>
    <w:next w:val="Normal"/>
    <w:qFormat/>
    <w:pPr>
      <w:numPr>
        <w:ilvl w:val="5"/>
        <w:numId w:val="16"/>
      </w:numPr>
      <w:spacing w:before="240" w:after="60"/>
      <w:outlineLvl w:val="5"/>
    </w:pPr>
    <w:rPr>
      <w:rFonts w:ascii="Times New Roman" w:hAnsi="Times New Roman"/>
      <w:b/>
      <w:bCs/>
      <w:szCs w:val="22"/>
    </w:rPr>
  </w:style>
  <w:style w:type="paragraph" w:styleId="Heading7">
    <w:name w:val="heading 7"/>
    <w:aliases w:val="Legal Level 1.1."/>
    <w:basedOn w:val="Normal"/>
    <w:next w:val="Normal"/>
    <w:qFormat/>
    <w:pPr>
      <w:numPr>
        <w:ilvl w:val="6"/>
        <w:numId w:val="16"/>
      </w:numPr>
      <w:spacing w:before="240" w:after="60"/>
      <w:outlineLvl w:val="6"/>
    </w:pPr>
    <w:rPr>
      <w:rFonts w:ascii="Times New Roman" w:hAnsi="Times New Roman"/>
      <w:sz w:val="24"/>
      <w:szCs w:val="24"/>
    </w:rPr>
  </w:style>
  <w:style w:type="paragraph" w:styleId="Heading8">
    <w:name w:val="heading 8"/>
    <w:aliases w:val="Legal Level 1.1.1."/>
    <w:basedOn w:val="Normal"/>
    <w:next w:val="Normal"/>
    <w:qFormat/>
    <w:pPr>
      <w:numPr>
        <w:ilvl w:val="7"/>
        <w:numId w:val="16"/>
      </w:numPr>
      <w:spacing w:before="240" w:after="60"/>
      <w:outlineLvl w:val="7"/>
    </w:pPr>
    <w:rPr>
      <w:rFonts w:ascii="Times New Roman" w:hAnsi="Times New Roman"/>
      <w:i/>
      <w:iCs/>
      <w:sz w:val="24"/>
      <w:szCs w:val="24"/>
    </w:rPr>
  </w:style>
  <w:style w:type="paragraph" w:styleId="Heading9">
    <w:name w:val="heading 9"/>
    <w:aliases w:val="Legal Level 1.1.1.1."/>
    <w:basedOn w:val="Normal"/>
    <w:next w:val="Normal"/>
    <w:qFormat/>
    <w:pPr>
      <w:numPr>
        <w:ilvl w:val="8"/>
        <w:numId w:val="1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0" w:lineRule="exact"/>
      <w:jc w:val="both"/>
    </w:pPr>
  </w:style>
  <w:style w:type="paragraph" w:styleId="BodyText2">
    <w:name w:val="Body Text 2"/>
    <w:basedOn w:val="Normal"/>
    <w:pPr>
      <w:widowControl w:val="0"/>
      <w:jc w:val="both"/>
    </w:pPr>
    <w:rPr>
      <w:color w:val="000000"/>
    </w:r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spacing w:before="480"/>
    </w:pPr>
    <w:rPr>
      <w:sz w:val="18"/>
    </w:rPr>
  </w:style>
  <w:style w:type="character" w:styleId="PageNumber">
    <w:name w:val="page number"/>
    <w:rPr>
      <w:rFonts w:ascii="Arial" w:hAnsi="Arial"/>
    </w:rPr>
  </w:style>
  <w:style w:type="paragraph" w:styleId="DocumentMap">
    <w:name w:val="Document Map"/>
    <w:basedOn w:val="Normal"/>
    <w:semiHidden/>
    <w:pPr>
      <w:shd w:val="clear" w:color="auto" w:fill="000080"/>
    </w:pPr>
    <w:rPr>
      <w:rFonts w:ascii="Tahoma" w:hAnsi="Tahoma" w:cs="Tahoma"/>
    </w:rPr>
  </w:style>
  <w:style w:type="paragraph" w:customStyle="1" w:styleId="Unterabteilung">
    <w:name w:val="Unterabteilung"/>
    <w:basedOn w:val="Header"/>
    <w:pPr>
      <w:spacing w:after="240"/>
    </w:pPr>
    <w:rPr>
      <w:b/>
    </w:rPr>
  </w:style>
  <w:style w:type="paragraph" w:customStyle="1" w:styleId="Absender">
    <w:name w:val="Absender"/>
    <w:basedOn w:val="Normal"/>
    <w:pPr>
      <w:tabs>
        <w:tab w:val="left" w:pos="851"/>
      </w:tabs>
    </w:pPr>
    <w:rPr>
      <w:sz w:val="18"/>
    </w:rPr>
  </w:style>
  <w:style w:type="paragraph" w:customStyle="1" w:styleId="Departement">
    <w:name w:val="Departement"/>
    <w:basedOn w:val="Header"/>
    <w:next w:val="Dienststelle"/>
    <w:pPr>
      <w:spacing w:before="380"/>
    </w:pPr>
  </w:style>
  <w:style w:type="paragraph" w:customStyle="1" w:styleId="Dienststelle">
    <w:name w:val="Dienststelle"/>
    <w:basedOn w:val="Header"/>
    <w:next w:val="Normal"/>
    <w:pPr>
      <w:spacing w:before="340" w:after="200"/>
    </w:pPr>
    <w:rPr>
      <w:b/>
      <w:sz w:val="30"/>
    </w:rPr>
  </w:style>
  <w:style w:type="paragraph" w:styleId="Salutation">
    <w:name w:val="Salutation"/>
    <w:basedOn w:val="Normal"/>
    <w:next w:val="BodyText"/>
  </w:style>
  <w:style w:type="paragraph" w:customStyle="1" w:styleId="Betreff">
    <w:name w:val="Betreff"/>
    <w:basedOn w:val="Normal"/>
    <w:next w:val="Salutation"/>
    <w:rPr>
      <w:b/>
    </w:rPr>
  </w:style>
  <w:style w:type="paragraph" w:customStyle="1" w:styleId="OrtDatum">
    <w:name w:val="Ort &amp; Datum"/>
    <w:basedOn w:val="Normal"/>
    <w:next w:val="Betreff"/>
    <w:pPr>
      <w:spacing w:before="900" w:after="400"/>
      <w:ind w:left="5103"/>
    </w:pPr>
  </w:style>
  <w:style w:type="paragraph" w:styleId="Closing">
    <w:name w:val="Closing"/>
    <w:basedOn w:val="Brieftext"/>
    <w:next w:val="GrussformelName"/>
    <w:rsid w:val="00B20E48"/>
    <w:pPr>
      <w:tabs>
        <w:tab w:val="clear" w:pos="851"/>
        <w:tab w:val="clear" w:pos="5103"/>
      </w:tabs>
      <w:spacing w:line="240" w:lineRule="auto"/>
    </w:pPr>
    <w:rPr>
      <w:b w:val="0"/>
      <w:sz w:val="22"/>
    </w:rPr>
  </w:style>
  <w:style w:type="paragraph" w:customStyle="1" w:styleId="GrussformelName">
    <w:name w:val="Grussformel Name"/>
    <w:basedOn w:val="Normal"/>
    <w:next w:val="GrussformelFunktion"/>
    <w:pPr>
      <w:spacing w:after="60"/>
    </w:pPr>
  </w:style>
  <w:style w:type="paragraph" w:customStyle="1" w:styleId="GrussformelFunktion">
    <w:name w:val="Grussformel Funktion"/>
    <w:basedOn w:val="Normal"/>
    <w:next w:val="Normal"/>
  </w:style>
  <w:style w:type="paragraph" w:customStyle="1" w:styleId="FormatvorlageTextkrperLinks">
    <w:name w:val="Formatvorlage Textkörper + Links"/>
    <w:basedOn w:val="BodyText"/>
    <w:pPr>
      <w:jc w:val="left"/>
    </w:pPr>
  </w:style>
  <w:style w:type="paragraph" w:customStyle="1" w:styleId="Abteilung1">
    <w:name w:val="Abteilung 1"/>
    <w:basedOn w:val="Normal"/>
    <w:next w:val="Abteilung2"/>
    <w:pPr>
      <w:tabs>
        <w:tab w:val="left" w:pos="0"/>
        <w:tab w:val="left" w:pos="5103"/>
      </w:tabs>
      <w:spacing w:before="200" w:after="80"/>
      <w:ind w:left="-284"/>
    </w:pPr>
  </w:style>
  <w:style w:type="paragraph" w:customStyle="1" w:styleId="Abteilung2">
    <w:name w:val="Abteilung 2"/>
    <w:basedOn w:val="Normal"/>
    <w:next w:val="Absender"/>
    <w:pPr>
      <w:tabs>
        <w:tab w:val="left" w:pos="0"/>
        <w:tab w:val="left" w:pos="5103"/>
      </w:tabs>
      <w:spacing w:after="240"/>
      <w:ind w:left="-284"/>
    </w:pPr>
    <w:rPr>
      <w:b/>
      <w:bCs/>
    </w:rPr>
  </w:style>
  <w:style w:type="character" w:customStyle="1" w:styleId="TextkrperChar">
    <w:name w:val="Textkörper Char"/>
    <w:rPr>
      <w:rFonts w:ascii="Arial" w:hAnsi="Arial"/>
      <w:sz w:val="24"/>
      <w:lang w:val="de-DE" w:eastAsia="de-DE" w:bidi="ar-SA"/>
    </w:rPr>
  </w:style>
  <w:style w:type="character" w:styleId="Hyperlink">
    <w:name w:val="Hyperlink"/>
    <w:rPr>
      <w:color w:val="0000FF"/>
      <w:u w:val="single"/>
    </w:rPr>
  </w:style>
  <w:style w:type="character" w:customStyle="1" w:styleId="OrtDatumChar">
    <w:name w:val="Ort &amp; Datum Char"/>
    <w:rPr>
      <w:rFonts w:ascii="Arial" w:hAnsi="Arial"/>
      <w:sz w:val="24"/>
      <w:lang w:val="de-DE" w:eastAsia="de-DE" w:bidi="ar-SA"/>
    </w:rPr>
  </w:style>
  <w:style w:type="paragraph" w:customStyle="1" w:styleId="Kopfzeile2Seite1Zeile">
    <w:name w:val="Kopfzeile 2. Seite 1. Zeile"/>
    <w:basedOn w:val="Normal"/>
    <w:pPr>
      <w:tabs>
        <w:tab w:val="right" w:pos="9356"/>
      </w:tabs>
    </w:pPr>
    <w:rPr>
      <w:b/>
      <w:bCs/>
      <w:sz w:val="18"/>
    </w:rPr>
  </w:style>
  <w:style w:type="paragraph" w:customStyle="1" w:styleId="Empfnger">
    <w:name w:val="Empfänger"/>
    <w:basedOn w:val="Normal"/>
  </w:style>
  <w:style w:type="character" w:customStyle="1" w:styleId="GrussformelNameChar">
    <w:name w:val="Grussformel Name Char"/>
    <w:rPr>
      <w:rFonts w:ascii="Arial" w:hAnsi="Arial"/>
      <w:sz w:val="24"/>
      <w:lang w:val="de-CH" w:eastAsia="de-DE" w:bidi="ar-SA"/>
    </w:rPr>
  </w:style>
  <w:style w:type="character" w:customStyle="1" w:styleId="GrussformelFunktionChar">
    <w:name w:val="Grussformel Funktion Char"/>
    <w:rPr>
      <w:rFonts w:ascii="Arial" w:hAnsi="Arial"/>
      <w:sz w:val="24"/>
      <w:lang w:val="de-CH" w:eastAsia="de-DE" w:bidi="ar-SA"/>
    </w:rPr>
  </w:style>
  <w:style w:type="paragraph" w:customStyle="1" w:styleId="Kopfzeile2Seite2Zeile">
    <w:name w:val="Kopfzeile 2. Seite 2. Zeile"/>
    <w:basedOn w:val="Normal"/>
    <w:pPr>
      <w:tabs>
        <w:tab w:val="left" w:pos="8592"/>
      </w:tabs>
      <w:spacing w:before="360"/>
    </w:pPr>
    <w:rPr>
      <w:sz w:val="18"/>
    </w:rPr>
  </w:style>
  <w:style w:type="paragraph" w:styleId="BlockText">
    <w:name w:val="Block Text"/>
    <w:basedOn w:val="Normal"/>
    <w:pPr>
      <w:widowControl w:val="0"/>
      <w:ind w:left="284" w:right="283"/>
      <w:jc w:val="both"/>
    </w:pPr>
    <w:rPr>
      <w:color w:val="000000"/>
    </w:rPr>
  </w:style>
  <w:style w:type="character" w:styleId="FollowedHyperlink">
    <w:name w:val="FollowedHyperlink"/>
    <w:rPr>
      <w:color w:val="800080"/>
      <w:u w:val="single"/>
    </w:rPr>
  </w:style>
  <w:style w:type="paragraph" w:styleId="TOC1">
    <w:name w:val="toc 1"/>
    <w:basedOn w:val="Normal"/>
    <w:next w:val="Normal"/>
    <w:autoRedefine/>
    <w:uiPriority w:val="39"/>
    <w:pPr>
      <w:tabs>
        <w:tab w:val="right" w:pos="9072"/>
      </w:tabs>
      <w:overflowPunct/>
      <w:autoSpaceDE/>
      <w:autoSpaceDN/>
      <w:adjustRightInd/>
      <w:spacing w:before="120"/>
      <w:ind w:left="426" w:right="-567" w:hanging="426"/>
      <w:jc w:val="both"/>
      <w:textAlignment w:val="auto"/>
    </w:pPr>
    <w:rPr>
      <w:b/>
      <w:noProof/>
      <w:szCs w:val="28"/>
    </w:rPr>
  </w:style>
  <w:style w:type="paragraph" w:styleId="TOC2">
    <w:name w:val="toc 2"/>
    <w:basedOn w:val="Normal"/>
    <w:next w:val="Normal"/>
    <w:autoRedefine/>
    <w:uiPriority w:val="39"/>
    <w:pPr>
      <w:tabs>
        <w:tab w:val="left" w:pos="1021"/>
        <w:tab w:val="left" w:pos="1560"/>
        <w:tab w:val="right" w:leader="dot" w:pos="9072"/>
      </w:tabs>
      <w:overflowPunct/>
      <w:autoSpaceDE/>
      <w:autoSpaceDN/>
      <w:adjustRightInd/>
      <w:spacing w:before="60"/>
      <w:ind w:left="454"/>
      <w:jc w:val="both"/>
      <w:textAlignment w:val="auto"/>
    </w:pPr>
    <w:rPr>
      <w:noProof/>
      <w:sz w:val="20"/>
      <w:szCs w:val="24"/>
    </w:rPr>
  </w:style>
  <w:style w:type="paragraph" w:styleId="TOC3">
    <w:name w:val="toc 3"/>
    <w:basedOn w:val="Normal"/>
    <w:next w:val="Normal"/>
    <w:autoRedefine/>
    <w:uiPriority w:val="39"/>
    <w:rsid w:val="004760A9"/>
    <w:pPr>
      <w:tabs>
        <w:tab w:val="left" w:pos="720"/>
        <w:tab w:val="left" w:pos="1680"/>
        <w:tab w:val="right" w:leader="dot" w:pos="9072"/>
      </w:tabs>
      <w:overflowPunct/>
      <w:autoSpaceDE/>
      <w:autoSpaceDN/>
      <w:adjustRightInd/>
      <w:spacing w:before="20" w:after="20"/>
      <w:ind w:left="993"/>
      <w:jc w:val="both"/>
      <w:textAlignment w:val="auto"/>
    </w:pPr>
    <w:rPr>
      <w:noProof/>
      <w:sz w:val="20"/>
      <w:szCs w:val="22"/>
    </w:rPr>
  </w:style>
  <w:style w:type="paragraph" w:customStyle="1" w:styleId="Aufz2">
    <w:name w:val="Aufz2"/>
    <w:basedOn w:val="Normal"/>
    <w:rsid w:val="0087393A"/>
    <w:pPr>
      <w:numPr>
        <w:numId w:val="12"/>
      </w:numPr>
      <w:overflowPunct/>
      <w:autoSpaceDE/>
      <w:autoSpaceDN/>
      <w:adjustRightInd/>
      <w:textAlignment w:val="auto"/>
    </w:pPr>
    <w:rPr>
      <w:szCs w:val="22"/>
      <w:lang w:eastAsia="de-CH"/>
    </w:rPr>
  </w:style>
  <w:style w:type="paragraph" w:styleId="FootnoteText">
    <w:name w:val="footnote text"/>
    <w:basedOn w:val="Normal"/>
    <w:link w:val="FootnoteTextChar"/>
    <w:uiPriority w:val="99"/>
    <w:rPr>
      <w:sz w:val="18"/>
    </w:rPr>
  </w:style>
  <w:style w:type="character" w:styleId="FootnoteReference">
    <w:name w:val="footnote reference"/>
    <w:uiPriority w:val="99"/>
    <w:rPr>
      <w:rFonts w:ascii="Arial" w:hAnsi="Arial"/>
      <w:vertAlign w:val="superscript"/>
    </w:rPr>
  </w:style>
  <w:style w:type="paragraph" w:styleId="BalloonText">
    <w:name w:val="Balloon Text"/>
    <w:basedOn w:val="Normal"/>
    <w:semiHidden/>
    <w:rPr>
      <w:rFonts w:ascii="Tahoma" w:hAnsi="Tahoma" w:cs="Tahoma"/>
      <w:sz w:val="16"/>
      <w:szCs w:val="16"/>
    </w:rPr>
  </w:style>
  <w:style w:type="character" w:customStyle="1" w:styleId="highlight">
    <w:name w:val="highlight"/>
    <w:basedOn w:val="DefaultParagraphFont"/>
  </w:style>
  <w:style w:type="paragraph" w:styleId="Subtitle">
    <w:name w:val="Subtitle"/>
    <w:basedOn w:val="Normal"/>
    <w:next w:val="BodyText"/>
    <w:qFormat/>
    <w:pPr>
      <w:spacing w:before="120" w:after="120"/>
      <w:textAlignment w:val="auto"/>
    </w:pPr>
    <w:rPr>
      <w:rFonts w:cs="Arial"/>
      <w:b/>
      <w:sz w:val="24"/>
      <w:szCs w:val="24"/>
    </w:rPr>
  </w:style>
  <w:style w:type="paragraph" w:styleId="Title">
    <w:name w:val="Title"/>
    <w:basedOn w:val="Normal"/>
    <w:next w:val="BodyText"/>
    <w:qFormat/>
    <w:pPr>
      <w:spacing w:before="240" w:after="240"/>
    </w:pPr>
    <w:rPr>
      <w:rFonts w:cs="Arial"/>
      <w:b/>
      <w:bCs/>
      <w:kern w:val="28"/>
      <w:sz w:val="30"/>
      <w:szCs w:val="3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de-DE"/>
    </w:rPr>
  </w:style>
  <w:style w:type="paragraph" w:customStyle="1" w:styleId="Brieftext">
    <w:name w:val="Brieftext"/>
    <w:basedOn w:val="Normal"/>
    <w:pPr>
      <w:tabs>
        <w:tab w:val="left" w:pos="851"/>
        <w:tab w:val="left" w:pos="5103"/>
      </w:tabs>
      <w:overflowPunct/>
      <w:autoSpaceDE/>
      <w:autoSpaceDN/>
      <w:adjustRightInd/>
      <w:spacing w:line="280" w:lineRule="exact"/>
      <w:textAlignment w:val="auto"/>
    </w:pPr>
    <w:rPr>
      <w:b/>
      <w:sz w:val="24"/>
      <w:szCs w:val="24"/>
    </w:rPr>
  </w:style>
  <w:style w:type="paragraph" w:customStyle="1" w:styleId="05-Grundschrift">
    <w:name w:val="05-Grundschrift"/>
    <w:basedOn w:val="Normal"/>
    <w:pPr>
      <w:tabs>
        <w:tab w:val="right" w:pos="6407"/>
      </w:tabs>
      <w:overflowPunct/>
      <w:autoSpaceDE/>
      <w:autoSpaceDN/>
      <w:adjustRightInd/>
      <w:spacing w:line="213" w:lineRule="atLeast"/>
      <w:textAlignment w:val="auto"/>
    </w:pPr>
    <w:rPr>
      <w:rFonts w:ascii="Times New Roman" w:hAnsi="Times New Roman"/>
      <w:sz w:val="18"/>
      <w:szCs w:val="18"/>
    </w:rPr>
  </w:style>
  <w:style w:type="paragraph" w:customStyle="1" w:styleId="1">
    <w:name w:val="1"/>
    <w:basedOn w:val="Brieftext"/>
    <w:next w:val="Closing"/>
    <w:pPr>
      <w:spacing w:line="240" w:lineRule="auto"/>
    </w:pPr>
  </w:style>
  <w:style w:type="paragraph" w:styleId="BodyTextIndent">
    <w:name w:val="Body Text Indent"/>
    <w:basedOn w:val="Normal"/>
    <w:pPr>
      <w:ind w:left="-108"/>
      <w:jc w:val="both"/>
    </w:pPr>
    <w:rPr>
      <w:rFonts w:cs="Arial"/>
      <w:szCs w:val="22"/>
    </w:rPr>
  </w:style>
  <w:style w:type="paragraph" w:styleId="BodyTextIndent2">
    <w:name w:val="Body Text Indent 2"/>
    <w:basedOn w:val="Normal"/>
    <w:pPr>
      <w:spacing w:after="120" w:line="480" w:lineRule="auto"/>
      <w:ind w:left="283"/>
    </w:pPr>
  </w:style>
  <w:style w:type="paragraph" w:customStyle="1" w:styleId="RR-weiterer-Beschluss">
    <w:name w:val="RR-weiterer-Beschluss"/>
    <w:basedOn w:val="Normal"/>
    <w:pPr>
      <w:tabs>
        <w:tab w:val="left" w:pos="540"/>
      </w:tabs>
      <w:overflowPunct/>
      <w:autoSpaceDE/>
      <w:autoSpaceDN/>
      <w:adjustRightInd/>
      <w:spacing w:after="120"/>
      <w:ind w:left="1080" w:hanging="540"/>
      <w:jc w:val="both"/>
      <w:textAlignment w:val="auto"/>
    </w:pPr>
    <w:rPr>
      <w:rFonts w:cs="Arial"/>
      <w:sz w:val="24"/>
      <w:szCs w:val="24"/>
    </w:rPr>
  </w:style>
  <w:style w:type="paragraph" w:styleId="BodyText3">
    <w:name w:val="Body Text 3"/>
    <w:basedOn w:val="Normal"/>
    <w:pPr>
      <w:spacing w:after="120"/>
    </w:pPr>
    <w:rPr>
      <w:sz w:val="16"/>
      <w:szCs w:val="16"/>
    </w:rPr>
  </w:style>
  <w:style w:type="paragraph" w:customStyle="1" w:styleId="Formatvorlage1">
    <w:name w:val="Formatvorlage1"/>
    <w:basedOn w:val="Heading1"/>
    <w:rPr>
      <w:sz w:val="22"/>
      <w:szCs w:val="22"/>
      <w:lang w:val="de-DE"/>
    </w:rPr>
  </w:style>
  <w:style w:type="paragraph" w:customStyle="1" w:styleId="Formatvorlage2">
    <w:name w:val="Formatvorlage2"/>
    <w:basedOn w:val="Heading1"/>
    <w:autoRedefine/>
    <w:pPr>
      <w:ind w:left="992" w:hanging="992"/>
    </w:pPr>
    <w:rPr>
      <w:sz w:val="22"/>
      <w:szCs w:val="22"/>
      <w:lang w:val="de-DE"/>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ListBullet">
    <w:name w:val="List Bullet"/>
    <w:basedOn w:val="Normal"/>
    <w:autoRedefine/>
    <w:pPr>
      <w:numPr>
        <w:numId w:val="1"/>
      </w:numPr>
    </w:pPr>
  </w:style>
  <w:style w:type="paragraph" w:customStyle="1" w:styleId="Nummerierung1">
    <w:name w:val="Nummerierung 1"/>
    <w:basedOn w:val="BodyText"/>
    <w:pPr>
      <w:numPr>
        <w:numId w:val="6"/>
      </w:numPr>
      <w:tabs>
        <w:tab w:val="clear" w:pos="851"/>
        <w:tab w:val="left" w:pos="425"/>
      </w:tabs>
      <w:overflowPunct/>
      <w:autoSpaceDE/>
      <w:autoSpaceDN/>
      <w:adjustRightInd/>
      <w:spacing w:after="120" w:line="240" w:lineRule="auto"/>
      <w:ind w:left="425" w:hanging="425"/>
      <w:jc w:val="left"/>
      <w:textAlignment w:val="auto"/>
    </w:pPr>
  </w:style>
  <w:style w:type="paragraph" w:customStyle="1" w:styleId="Aufzhlung1">
    <w:name w:val="Aufzählung 1"/>
    <w:basedOn w:val="BodyText"/>
    <w:pPr>
      <w:numPr>
        <w:numId w:val="4"/>
      </w:numPr>
      <w:overflowPunct/>
      <w:autoSpaceDE/>
      <w:autoSpaceDN/>
      <w:adjustRightInd/>
      <w:spacing w:after="120" w:line="240" w:lineRule="auto"/>
      <w:jc w:val="left"/>
      <w:textAlignment w:val="auto"/>
    </w:pPr>
  </w:style>
  <w:style w:type="paragraph" w:customStyle="1" w:styleId="Nummerierung2">
    <w:name w:val="Nummerierung 2"/>
    <w:basedOn w:val="BodyText"/>
    <w:pPr>
      <w:numPr>
        <w:numId w:val="7"/>
      </w:numPr>
      <w:overflowPunct/>
      <w:autoSpaceDE/>
      <w:autoSpaceDN/>
      <w:adjustRightInd/>
      <w:spacing w:after="120" w:line="240" w:lineRule="auto"/>
      <w:jc w:val="left"/>
      <w:textAlignment w:val="auto"/>
    </w:pPr>
  </w:style>
  <w:style w:type="paragraph" w:customStyle="1" w:styleId="Nummerierung3">
    <w:name w:val="Nummerierung 3"/>
    <w:basedOn w:val="BodyText"/>
    <w:pPr>
      <w:numPr>
        <w:numId w:val="8"/>
      </w:numPr>
      <w:tabs>
        <w:tab w:val="clear" w:pos="1571"/>
        <w:tab w:val="left" w:pos="1276"/>
      </w:tabs>
      <w:overflowPunct/>
      <w:autoSpaceDE/>
      <w:autoSpaceDN/>
      <w:adjustRightInd/>
      <w:spacing w:after="120" w:line="240" w:lineRule="auto"/>
      <w:jc w:val="left"/>
      <w:textAlignment w:val="auto"/>
    </w:pPr>
  </w:style>
  <w:style w:type="paragraph" w:customStyle="1" w:styleId="Aufzhlung2">
    <w:name w:val="Aufzählung 2"/>
    <w:basedOn w:val="BodyText"/>
    <w:pPr>
      <w:numPr>
        <w:numId w:val="3"/>
      </w:numPr>
      <w:overflowPunct/>
      <w:autoSpaceDE/>
      <w:autoSpaceDN/>
      <w:adjustRightInd/>
      <w:spacing w:after="120" w:line="240" w:lineRule="auto"/>
      <w:jc w:val="left"/>
      <w:textAlignment w:val="auto"/>
    </w:pPr>
  </w:style>
  <w:style w:type="paragraph" w:customStyle="1" w:styleId="Aufzhlung3">
    <w:name w:val="Aufzählung 3"/>
    <w:basedOn w:val="BodyText"/>
    <w:pPr>
      <w:numPr>
        <w:numId w:val="5"/>
      </w:numPr>
      <w:overflowPunct/>
      <w:autoSpaceDE/>
      <w:autoSpaceDN/>
      <w:adjustRightInd/>
      <w:spacing w:after="120" w:line="240" w:lineRule="auto"/>
      <w:jc w:val="left"/>
      <w:textAlignment w:val="auto"/>
    </w:pPr>
  </w:style>
  <w:style w:type="paragraph" w:customStyle="1" w:styleId="berschrift1Brief">
    <w:name w:val="Überschrift 1 Brief"/>
    <w:basedOn w:val="Heading1"/>
    <w:next w:val="BodyText"/>
    <w:pPr>
      <w:keepLines/>
      <w:numPr>
        <w:numId w:val="9"/>
      </w:numPr>
      <w:tabs>
        <w:tab w:val="clear" w:pos="432"/>
        <w:tab w:val="left" w:pos="1134"/>
      </w:tabs>
      <w:overflowPunct/>
      <w:autoSpaceDE/>
      <w:autoSpaceDN/>
      <w:adjustRightInd/>
      <w:spacing w:before="240" w:after="240"/>
      <w:ind w:left="1134" w:hanging="1134"/>
      <w:textAlignment w:val="auto"/>
    </w:pPr>
    <w:rPr>
      <w:rFonts w:cs="Times New Roman"/>
      <w:bCs w:val="0"/>
      <w:kern w:val="0"/>
      <w:sz w:val="22"/>
      <w:szCs w:val="20"/>
    </w:rPr>
  </w:style>
  <w:style w:type="paragraph" w:customStyle="1" w:styleId="berschrift2Brief">
    <w:name w:val="Überschrift 2 Brief"/>
    <w:basedOn w:val="Heading2"/>
    <w:next w:val="BodyText"/>
    <w:pPr>
      <w:keepLines/>
      <w:numPr>
        <w:numId w:val="9"/>
      </w:numPr>
      <w:tabs>
        <w:tab w:val="clear" w:pos="576"/>
        <w:tab w:val="clear" w:pos="992"/>
        <w:tab w:val="left" w:pos="1134"/>
        <w:tab w:val="num" w:pos="1440"/>
      </w:tabs>
      <w:overflowPunct/>
      <w:autoSpaceDE/>
      <w:autoSpaceDN/>
      <w:adjustRightInd/>
      <w:spacing w:before="120" w:after="240"/>
      <w:ind w:left="1134" w:hanging="1134"/>
      <w:textAlignment w:val="auto"/>
    </w:pPr>
    <w:rPr>
      <w:rFonts w:cs="Times New Roman"/>
      <w:bCs w:val="0"/>
      <w:iCs w:val="0"/>
      <w:szCs w:val="20"/>
    </w:rPr>
  </w:style>
  <w:style w:type="paragraph" w:customStyle="1" w:styleId="ber5">
    <w:name w:val="Über5"/>
    <w:basedOn w:val="Normal"/>
    <w:pPr>
      <w:numPr>
        <w:numId w:val="10"/>
      </w:numPr>
      <w:tabs>
        <w:tab w:val="left" w:pos="993"/>
        <w:tab w:val="left" w:pos="1276"/>
        <w:tab w:val="left" w:pos="1701"/>
      </w:tabs>
      <w:overflowPunct/>
      <w:autoSpaceDE/>
      <w:autoSpaceDN/>
      <w:adjustRightInd/>
      <w:spacing w:line="360" w:lineRule="auto"/>
      <w:textAlignment w:val="auto"/>
    </w:pPr>
    <w:rPr>
      <w:sz w:val="28"/>
      <w:lang w:eastAsia="de-CH"/>
    </w:rPr>
  </w:style>
  <w:style w:type="paragraph" w:customStyle="1" w:styleId="Aufzhlung">
    <w:name w:val="Aufzählung"/>
    <w:basedOn w:val="Normal"/>
    <w:pPr>
      <w:widowControl w:val="0"/>
      <w:numPr>
        <w:numId w:val="11"/>
      </w:numPr>
      <w:spacing w:before="120"/>
    </w:pPr>
    <w:rPr>
      <w:rFonts w:ascii="Times New Roman" w:hAnsi="Times New Roman"/>
    </w:rPr>
  </w:style>
  <w:style w:type="paragraph" w:styleId="BodyTextIndent3">
    <w:name w:val="Body Text Indent 3"/>
    <w:basedOn w:val="Normal"/>
    <w:pPr>
      <w:ind w:left="1416"/>
      <w:jc w:val="both"/>
    </w:pPr>
    <w:rPr>
      <w:sz w:val="24"/>
    </w:rPr>
  </w:style>
  <w:style w:type="paragraph" w:customStyle="1" w:styleId="Pfeil1">
    <w:name w:val="Pfeil 1"/>
    <w:basedOn w:val="Footer"/>
    <w:pPr>
      <w:tabs>
        <w:tab w:val="clear" w:pos="4536"/>
        <w:tab w:val="clear" w:pos="9072"/>
      </w:tabs>
      <w:overflowPunct/>
      <w:autoSpaceDE/>
      <w:autoSpaceDN/>
      <w:adjustRightInd/>
      <w:spacing w:before="200" w:after="80"/>
      <w:textAlignment w:val="auto"/>
    </w:pPr>
    <w:rPr>
      <w:rFonts w:ascii="Wingdings 3" w:hAnsi="Wingdings 3"/>
      <w:sz w:val="22"/>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customStyle="1" w:styleId="xl24">
    <w:name w:val="xl24"/>
    <w:basedOn w:val="Normal"/>
    <w:pPr>
      <w:pBdr>
        <w:bottom w:val="single" w:sz="4" w:space="0" w:color="auto"/>
        <w:right w:val="single" w:sz="4" w:space="0" w:color="auto"/>
      </w:pBdr>
      <w:overflowPunct/>
      <w:autoSpaceDE/>
      <w:autoSpaceDN/>
      <w:adjustRightInd/>
      <w:spacing w:before="100" w:beforeAutospacing="1" w:after="100" w:afterAutospacing="1"/>
      <w:jc w:val="both"/>
      <w:textAlignment w:val="top"/>
    </w:pPr>
    <w:rPr>
      <w:rFonts w:eastAsia="Arial Unicode MS" w:cs="Arial"/>
      <w:sz w:val="18"/>
      <w:szCs w:val="18"/>
    </w:rPr>
  </w:style>
  <w:style w:type="paragraph" w:customStyle="1" w:styleId="xl25">
    <w:name w:val="xl25"/>
    <w:basedOn w:val="Normal"/>
    <w:pPr>
      <w:overflowPunct/>
      <w:autoSpaceDE/>
      <w:autoSpaceDN/>
      <w:adjustRightInd/>
      <w:spacing w:before="100" w:beforeAutospacing="1" w:after="100" w:afterAutospacing="1"/>
      <w:jc w:val="right"/>
      <w:textAlignment w:val="auto"/>
    </w:pPr>
    <w:rPr>
      <w:rFonts w:ascii="Helvetica" w:eastAsia="Arial Unicode MS" w:hAnsi="Helvetica" w:cs="Helvetica"/>
      <w:sz w:val="24"/>
      <w:szCs w:val="24"/>
    </w:rPr>
  </w:style>
  <w:style w:type="paragraph" w:customStyle="1" w:styleId="xl26">
    <w:name w:val="xl26"/>
    <w:basedOn w:val="Normal"/>
    <w:pPr>
      <w:overflowPunct/>
      <w:autoSpaceDE/>
      <w:autoSpaceDN/>
      <w:adjustRightInd/>
      <w:spacing w:before="100" w:beforeAutospacing="1" w:after="100" w:afterAutospacing="1"/>
      <w:textAlignment w:val="auto"/>
    </w:pPr>
    <w:rPr>
      <w:rFonts w:ascii="Helvetica" w:eastAsia="Arial Unicode MS" w:hAnsi="Helvetica" w:cs="Helvetica"/>
      <w:sz w:val="24"/>
      <w:szCs w:val="24"/>
    </w:rPr>
  </w:style>
  <w:style w:type="paragraph" w:customStyle="1" w:styleId="xl27">
    <w:name w:val="xl27"/>
    <w:basedOn w:val="Normal"/>
    <w:pPr>
      <w:overflowPunct/>
      <w:autoSpaceDE/>
      <w:autoSpaceDN/>
      <w:adjustRightInd/>
      <w:spacing w:before="100" w:beforeAutospacing="1" w:after="100" w:afterAutospacing="1"/>
      <w:jc w:val="right"/>
      <w:textAlignment w:val="auto"/>
    </w:pPr>
    <w:rPr>
      <w:rFonts w:ascii="Helvetica" w:eastAsia="Arial Unicode MS" w:hAnsi="Helvetica" w:cs="Helvetica"/>
      <w:sz w:val="24"/>
      <w:szCs w:val="24"/>
    </w:rPr>
  </w:style>
  <w:style w:type="paragraph" w:customStyle="1" w:styleId="xl28">
    <w:name w:val="xl28"/>
    <w:basedOn w:val="Normal"/>
    <w:pPr>
      <w:shd w:val="clear" w:color="auto" w:fill="FFFF00"/>
      <w:overflowPunct/>
      <w:autoSpaceDE/>
      <w:autoSpaceDN/>
      <w:adjustRightInd/>
      <w:spacing w:before="100" w:beforeAutospacing="1" w:after="100" w:afterAutospacing="1"/>
      <w:textAlignment w:val="auto"/>
    </w:pPr>
    <w:rPr>
      <w:rFonts w:ascii="Helvetica" w:eastAsia="Arial Unicode MS" w:hAnsi="Helvetica" w:cs="Helvetica"/>
      <w:sz w:val="24"/>
      <w:szCs w:val="24"/>
    </w:rPr>
  </w:style>
  <w:style w:type="paragraph" w:customStyle="1" w:styleId="Listenabsatz1">
    <w:name w:val="Listenabsatz1"/>
    <w:basedOn w:val="Normal"/>
    <w:qFormat/>
    <w:pPr>
      <w:overflowPunct/>
      <w:autoSpaceDE/>
      <w:autoSpaceDN/>
      <w:adjustRightInd/>
      <w:spacing w:after="200" w:line="276" w:lineRule="auto"/>
      <w:ind w:left="720"/>
      <w:textAlignment w:val="auto"/>
    </w:pPr>
    <w:rPr>
      <w:rFonts w:ascii="Calibri" w:eastAsia="Calibri" w:hAnsi="Calibri"/>
      <w:szCs w:val="22"/>
      <w:lang w:val="de-DE" w:eastAsia="en-US"/>
    </w:rPr>
  </w:style>
  <w:style w:type="character" w:customStyle="1" w:styleId="berschrift1Zchn">
    <w:name w:val="Überschrift 1 Zchn"/>
    <w:rPr>
      <w:rFonts w:ascii="Arial" w:eastAsia="Times New Roman" w:hAnsi="Arial" w:cs="Arial"/>
      <w:b/>
      <w:bCs/>
      <w:kern w:val="32"/>
      <w:sz w:val="26"/>
      <w:szCs w:val="26"/>
      <w:lang w:val="de-CH" w:eastAsia="de-DE"/>
    </w:rPr>
  </w:style>
  <w:style w:type="paragraph" w:styleId="CommentSubject">
    <w:name w:val="annotation subject"/>
    <w:basedOn w:val="CommentText"/>
    <w:next w:val="CommentText"/>
    <w:semiHidden/>
    <w:rPr>
      <w:b/>
      <w:bCs/>
    </w:rPr>
  </w:style>
  <w:style w:type="paragraph" w:customStyle="1" w:styleId="TabelleInhalt">
    <w:name w:val="Tabelle Inhalt"/>
    <w:basedOn w:val="Normal"/>
    <w:pPr>
      <w:keepLines/>
      <w:overflowPunct/>
      <w:autoSpaceDE/>
      <w:autoSpaceDN/>
      <w:adjustRightInd/>
      <w:spacing w:before="60" w:after="60"/>
      <w:textAlignment w:val="auto"/>
    </w:pPr>
    <w:rPr>
      <w:sz w:val="18"/>
    </w:rPr>
  </w:style>
  <w:style w:type="paragraph" w:styleId="TOC4">
    <w:name w:val="toc 4"/>
    <w:basedOn w:val="Normal"/>
    <w:next w:val="Normal"/>
    <w:autoRedefine/>
    <w:semiHidden/>
    <w:pPr>
      <w:overflowPunct/>
      <w:autoSpaceDE/>
      <w:autoSpaceDN/>
      <w:adjustRightInd/>
      <w:ind w:left="720"/>
      <w:textAlignment w:val="auto"/>
    </w:pPr>
    <w:rPr>
      <w:rFonts w:ascii="Times New Roman" w:hAnsi="Times New Roman"/>
      <w:sz w:val="24"/>
      <w:szCs w:val="24"/>
    </w:rPr>
  </w:style>
  <w:style w:type="paragraph" w:styleId="TOC5">
    <w:name w:val="toc 5"/>
    <w:basedOn w:val="Normal"/>
    <w:next w:val="Normal"/>
    <w:autoRedefine/>
    <w:semiHidden/>
    <w:pPr>
      <w:overflowPunct/>
      <w:autoSpaceDE/>
      <w:autoSpaceDN/>
      <w:adjustRightInd/>
      <w:ind w:left="960"/>
      <w:textAlignment w:val="auto"/>
    </w:pPr>
    <w:rPr>
      <w:rFonts w:ascii="Times New Roman" w:hAnsi="Times New Roman"/>
      <w:sz w:val="24"/>
      <w:szCs w:val="24"/>
    </w:rPr>
  </w:style>
  <w:style w:type="paragraph" w:styleId="TOC6">
    <w:name w:val="toc 6"/>
    <w:basedOn w:val="Normal"/>
    <w:next w:val="Normal"/>
    <w:autoRedefine/>
    <w:semiHidden/>
    <w:pPr>
      <w:overflowPunct/>
      <w:autoSpaceDE/>
      <w:autoSpaceDN/>
      <w:adjustRightInd/>
      <w:ind w:left="1200"/>
      <w:textAlignment w:val="auto"/>
    </w:pPr>
    <w:rPr>
      <w:rFonts w:ascii="Times New Roman" w:hAnsi="Times New Roman"/>
      <w:sz w:val="24"/>
      <w:szCs w:val="24"/>
    </w:rPr>
  </w:style>
  <w:style w:type="paragraph" w:styleId="TOC7">
    <w:name w:val="toc 7"/>
    <w:basedOn w:val="Normal"/>
    <w:next w:val="Normal"/>
    <w:autoRedefine/>
    <w:semiHidden/>
    <w:pPr>
      <w:overflowPunct/>
      <w:autoSpaceDE/>
      <w:autoSpaceDN/>
      <w:adjustRightInd/>
      <w:ind w:left="1440"/>
      <w:textAlignment w:val="auto"/>
    </w:pPr>
    <w:rPr>
      <w:rFonts w:ascii="Times New Roman" w:hAnsi="Times New Roman"/>
      <w:sz w:val="24"/>
      <w:szCs w:val="24"/>
    </w:rPr>
  </w:style>
  <w:style w:type="paragraph" w:styleId="TOC8">
    <w:name w:val="toc 8"/>
    <w:basedOn w:val="Normal"/>
    <w:next w:val="Normal"/>
    <w:autoRedefine/>
    <w:semiHidden/>
    <w:pPr>
      <w:overflowPunct/>
      <w:autoSpaceDE/>
      <w:autoSpaceDN/>
      <w:adjustRightInd/>
      <w:ind w:left="1680"/>
      <w:textAlignment w:val="auto"/>
    </w:pPr>
    <w:rPr>
      <w:rFonts w:ascii="Times New Roman" w:hAnsi="Times New Roman"/>
      <w:sz w:val="24"/>
      <w:szCs w:val="24"/>
    </w:rPr>
  </w:style>
  <w:style w:type="paragraph" w:styleId="TOC9">
    <w:name w:val="toc 9"/>
    <w:basedOn w:val="Normal"/>
    <w:next w:val="Normal"/>
    <w:autoRedefine/>
    <w:semiHidden/>
    <w:pPr>
      <w:overflowPunct/>
      <w:autoSpaceDE/>
      <w:autoSpaceDN/>
      <w:adjustRightInd/>
      <w:ind w:left="1920"/>
      <w:textAlignment w:val="auto"/>
    </w:pPr>
    <w:rPr>
      <w:rFonts w:ascii="Times New Roman" w:hAnsi="Times New Roman"/>
      <w:sz w:val="24"/>
      <w:szCs w:val="24"/>
    </w:rPr>
  </w:style>
  <w:style w:type="paragraph" w:customStyle="1" w:styleId="CM21">
    <w:name w:val="CM21"/>
    <w:basedOn w:val="Normal"/>
    <w:next w:val="Normal"/>
    <w:rsid w:val="007651EF"/>
    <w:pPr>
      <w:widowControl w:val="0"/>
      <w:overflowPunct/>
      <w:spacing w:line="346" w:lineRule="atLeast"/>
      <w:textAlignment w:val="auto"/>
    </w:pPr>
    <w:rPr>
      <w:sz w:val="24"/>
      <w:szCs w:val="24"/>
      <w:lang w:eastAsia="de-CH"/>
    </w:rPr>
  </w:style>
  <w:style w:type="paragraph" w:customStyle="1" w:styleId="CM117">
    <w:name w:val="CM117"/>
    <w:basedOn w:val="Normal"/>
    <w:next w:val="Normal"/>
    <w:rsid w:val="007651EF"/>
    <w:pPr>
      <w:widowControl w:val="0"/>
      <w:overflowPunct/>
      <w:textAlignment w:val="auto"/>
    </w:pPr>
    <w:rPr>
      <w:sz w:val="24"/>
      <w:szCs w:val="24"/>
      <w:lang w:eastAsia="de-CH"/>
    </w:rPr>
  </w:style>
  <w:style w:type="character" w:customStyle="1" w:styleId="SC2601">
    <w:name w:val="SC2601"/>
    <w:rsid w:val="0087393A"/>
    <w:rPr>
      <w:rFonts w:cs="DMPNL P+ Times Ten"/>
      <w:color w:val="000000"/>
      <w:sz w:val="18"/>
      <w:szCs w:val="18"/>
    </w:rPr>
  </w:style>
  <w:style w:type="paragraph" w:customStyle="1" w:styleId="Aufz1">
    <w:name w:val="Aufz1"/>
    <w:basedOn w:val="Normal"/>
    <w:link w:val="Aufz1Char"/>
    <w:rsid w:val="002E115D"/>
    <w:pPr>
      <w:keepLines/>
      <w:widowControl w:val="0"/>
      <w:numPr>
        <w:numId w:val="14"/>
      </w:numPr>
      <w:tabs>
        <w:tab w:val="left" w:pos="567"/>
      </w:tabs>
      <w:overflowPunct/>
      <w:autoSpaceDE/>
      <w:autoSpaceDN/>
      <w:adjustRightInd/>
      <w:spacing w:before="60" w:after="60"/>
      <w:ind w:left="357" w:right="284" w:hanging="357"/>
      <w:textAlignment w:val="auto"/>
    </w:pPr>
  </w:style>
  <w:style w:type="paragraph" w:customStyle="1" w:styleId="Text">
    <w:name w:val="Text"/>
    <w:link w:val="TextZchn"/>
    <w:rsid w:val="002E115D"/>
    <w:pPr>
      <w:spacing w:before="60" w:after="60"/>
    </w:pPr>
    <w:rPr>
      <w:rFonts w:ascii="Arial" w:hAnsi="Arial"/>
      <w:sz w:val="22"/>
      <w:lang w:eastAsia="de-DE"/>
    </w:rPr>
  </w:style>
  <w:style w:type="character" w:customStyle="1" w:styleId="TextZchn">
    <w:name w:val="Text Zchn"/>
    <w:link w:val="Text"/>
    <w:rsid w:val="002E115D"/>
    <w:rPr>
      <w:rFonts w:ascii="Arial" w:hAnsi="Arial"/>
      <w:sz w:val="22"/>
      <w:lang w:val="de-CH" w:eastAsia="de-DE" w:bidi="ar-SA"/>
    </w:rPr>
  </w:style>
  <w:style w:type="character" w:customStyle="1" w:styleId="Aufz1Char">
    <w:name w:val="Aufz1 Char"/>
    <w:link w:val="Aufz1"/>
    <w:rsid w:val="002E115D"/>
    <w:rPr>
      <w:rFonts w:ascii="Arial" w:hAnsi="Arial"/>
      <w:sz w:val="22"/>
      <w:lang w:eastAsia="de-DE"/>
    </w:rPr>
  </w:style>
  <w:style w:type="paragraph" w:customStyle="1" w:styleId="Nummerierung">
    <w:name w:val="Nummerierung"/>
    <w:basedOn w:val="Normal"/>
    <w:rsid w:val="002E115D"/>
    <w:pPr>
      <w:numPr>
        <w:numId w:val="15"/>
      </w:numPr>
      <w:overflowPunct/>
      <w:autoSpaceDE/>
      <w:autoSpaceDN/>
      <w:adjustRightInd/>
      <w:spacing w:before="60" w:after="60"/>
      <w:textAlignment w:val="auto"/>
    </w:pPr>
  </w:style>
  <w:style w:type="table" w:styleId="TableGrid">
    <w:name w:val="Table Grid"/>
    <w:basedOn w:val="TableNormal"/>
    <w:uiPriority w:val="59"/>
    <w:rsid w:val="006E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2Gesetz">
    <w:name w:val="Überschrift 2 Gesetz"/>
    <w:basedOn w:val="BodyText"/>
    <w:rsid w:val="004760A9"/>
    <w:pPr>
      <w:numPr>
        <w:ilvl w:val="1"/>
        <w:numId w:val="13"/>
      </w:numPr>
      <w:spacing w:after="120"/>
    </w:pPr>
    <w:rPr>
      <w:rFonts w:cs="Arial"/>
      <w:b/>
      <w:szCs w:val="22"/>
      <w:u w:val="single"/>
    </w:rPr>
  </w:style>
  <w:style w:type="paragraph" w:customStyle="1" w:styleId="berschrift3Paragraf">
    <w:name w:val="Überschrift 3 Paragraf"/>
    <w:basedOn w:val="BodyText"/>
    <w:rsid w:val="004760A9"/>
    <w:pPr>
      <w:spacing w:after="120"/>
    </w:pPr>
    <w:rPr>
      <w:rFonts w:cs="Arial"/>
      <w:b/>
      <w:szCs w:val="22"/>
    </w:rPr>
  </w:style>
  <w:style w:type="character" w:customStyle="1" w:styleId="apple-style-span">
    <w:name w:val="apple-style-span"/>
    <w:rsid w:val="00794F69"/>
  </w:style>
  <w:style w:type="character" w:customStyle="1" w:styleId="FootnoteTextChar">
    <w:name w:val="Footnote Text Char"/>
    <w:link w:val="FootnoteText"/>
    <w:uiPriority w:val="99"/>
    <w:rsid w:val="001E0BDE"/>
    <w:rPr>
      <w:rFonts w:ascii="Arial" w:hAnsi="Arial"/>
      <w:sz w:val="22"/>
      <w:lang w:val="de-CH" w:eastAsia="de-DE" w:bidi="ar-SA"/>
    </w:rPr>
  </w:style>
  <w:style w:type="character" w:customStyle="1" w:styleId="HeaderChar">
    <w:name w:val="Header Char"/>
    <w:link w:val="Header"/>
    <w:rsid w:val="001E0BDE"/>
    <w:rPr>
      <w:rFonts w:ascii="Arial" w:hAnsi="Arial"/>
      <w:sz w:val="22"/>
      <w:lang w:val="de-CH" w:eastAsia="de-DE" w:bidi="ar-SA"/>
    </w:rPr>
  </w:style>
  <w:style w:type="character" w:customStyle="1" w:styleId="ParagrafTextAbsatzZchn">
    <w:name w:val="Paragraf_Text_Absatz Zchn"/>
    <w:link w:val="ParagrafTextAbsatz"/>
    <w:rsid w:val="001E0BDE"/>
    <w:rPr>
      <w:rFonts w:ascii="Arial" w:hAnsi="Arial"/>
      <w:color w:val="000000"/>
      <w:szCs w:val="24"/>
      <w:lang w:val="de-CH" w:bidi="ar-SA"/>
    </w:rPr>
  </w:style>
  <w:style w:type="paragraph" w:customStyle="1" w:styleId="ParagrafTextAbsatz">
    <w:name w:val="Paragraf_Text_Absatz"/>
    <w:basedOn w:val="Normal"/>
    <w:link w:val="ParagrafTextAbsatzZchn"/>
    <w:rsid w:val="001E0BDE"/>
    <w:pPr>
      <w:overflowPunct/>
      <w:spacing w:before="120" w:line="280" w:lineRule="exact"/>
      <w:textAlignment w:val="auto"/>
    </w:pPr>
    <w:rPr>
      <w:color w:val="000000"/>
      <w:sz w:val="20"/>
      <w:szCs w:val="24"/>
      <w:lang w:eastAsia="de-CH"/>
    </w:rPr>
  </w:style>
  <w:style w:type="paragraph" w:customStyle="1" w:styleId="ParagrafTitel">
    <w:name w:val="Paragraf_Titel"/>
    <w:basedOn w:val="Normal"/>
    <w:link w:val="ParagrafTitelZchn"/>
    <w:rsid w:val="001E0BDE"/>
    <w:pPr>
      <w:keepNext/>
      <w:overflowPunct/>
      <w:spacing w:before="360"/>
      <w:textAlignment w:val="auto"/>
    </w:pPr>
    <w:rPr>
      <w:rFonts w:cs="Arial"/>
      <w:i/>
      <w:iCs/>
      <w:color w:val="000000"/>
      <w:sz w:val="20"/>
      <w:szCs w:val="24"/>
    </w:rPr>
  </w:style>
  <w:style w:type="character" w:customStyle="1" w:styleId="ParagrafTitelZchn">
    <w:name w:val="Paragraf_Titel Zchn"/>
    <w:link w:val="ParagrafTitel"/>
    <w:rsid w:val="001E0BDE"/>
    <w:rPr>
      <w:rFonts w:ascii="Arial" w:hAnsi="Arial" w:cs="Arial"/>
      <w:i/>
      <w:iCs/>
      <w:color w:val="000000"/>
      <w:szCs w:val="24"/>
      <w:lang w:val="de-CH" w:eastAsia="de-DE" w:bidi="ar-SA"/>
    </w:rPr>
  </w:style>
  <w:style w:type="paragraph" w:customStyle="1" w:styleId="ParagrafTextAbsatzerster">
    <w:name w:val="Paragraf_Text_Absatz_erster"/>
    <w:basedOn w:val="Normal"/>
    <w:link w:val="ParagrafTextAbsatzersterZchn"/>
    <w:qFormat/>
    <w:rsid w:val="001E0BDE"/>
    <w:pPr>
      <w:overflowPunct/>
      <w:spacing w:before="120" w:line="280" w:lineRule="atLeast"/>
      <w:ind w:firstLine="284"/>
      <w:textAlignment w:val="auto"/>
    </w:pPr>
    <w:rPr>
      <w:rFonts w:cs="Arial"/>
      <w:color w:val="000000"/>
      <w:sz w:val="20"/>
      <w:szCs w:val="24"/>
    </w:rPr>
  </w:style>
  <w:style w:type="character" w:customStyle="1" w:styleId="ParagrafTextAbsatzersterZchn">
    <w:name w:val="Paragraf_Text_Absatz_erster Zchn"/>
    <w:link w:val="ParagrafTextAbsatzerster"/>
    <w:rsid w:val="001E0BDE"/>
    <w:rPr>
      <w:rFonts w:ascii="Arial" w:hAnsi="Arial" w:cs="Arial"/>
      <w:color w:val="000000"/>
      <w:szCs w:val="24"/>
      <w:lang w:val="de-CH" w:eastAsia="de-DE" w:bidi="ar-SA"/>
    </w:rPr>
  </w:style>
  <w:style w:type="paragraph" w:customStyle="1" w:styleId="G-UeberschriftAbschnittI">
    <w:name w:val="G-Ueberschrift_Abschnitt_I"/>
    <w:basedOn w:val="Normal"/>
    <w:rsid w:val="001E0BDE"/>
    <w:pPr>
      <w:keepNext/>
      <w:overflowPunct/>
      <w:spacing w:before="360" w:after="360" w:line="280" w:lineRule="atLeast"/>
      <w:textAlignment w:val="auto"/>
    </w:pPr>
    <w:rPr>
      <w:rFonts w:cs="Arial"/>
      <w:b/>
      <w:color w:val="000000"/>
      <w:sz w:val="24"/>
      <w:szCs w:val="24"/>
    </w:rPr>
  </w:style>
  <w:style w:type="paragraph" w:customStyle="1" w:styleId="ParagrafTextBuchstabe">
    <w:name w:val="Paragraf_Text_Buchstabe"/>
    <w:basedOn w:val="ParagrafTextAbsatz"/>
    <w:link w:val="ParagrafTextBuchstabeZchn"/>
    <w:rsid w:val="001E0BDE"/>
    <w:pPr>
      <w:spacing w:line="280" w:lineRule="atLeast"/>
      <w:ind w:left="567" w:hanging="283"/>
    </w:pPr>
  </w:style>
  <w:style w:type="character" w:customStyle="1" w:styleId="ParagrafTextBuchstabeZchn">
    <w:name w:val="Paragraf_Text_Buchstabe Zchn"/>
    <w:link w:val="ParagrafTextBuchstabe"/>
    <w:rsid w:val="001E0BDE"/>
    <w:rPr>
      <w:rFonts w:ascii="Arial" w:hAnsi="Arial"/>
      <w:color w:val="000000"/>
      <w:szCs w:val="24"/>
      <w:lang w:val="de-CH" w:bidi="ar-SA"/>
    </w:rPr>
  </w:style>
  <w:style w:type="paragraph" w:customStyle="1" w:styleId="Erlass-Titel">
    <w:name w:val="Erlass-Titel"/>
    <w:basedOn w:val="G-UeberschriftAbschnittI"/>
    <w:rsid w:val="001E0BDE"/>
    <w:rPr>
      <w:sz w:val="28"/>
    </w:rPr>
  </w:style>
  <w:style w:type="paragraph" w:customStyle="1" w:styleId="AenderungbisherigenRechtsGesetzestitel">
    <w:name w:val="Aenderung_bisherigen_Rechts_Gesetzestitel"/>
    <w:basedOn w:val="Normal"/>
    <w:next w:val="Normal"/>
    <w:qFormat/>
    <w:rsid w:val="001E0BDE"/>
    <w:pPr>
      <w:keepNext/>
      <w:suppressAutoHyphens/>
      <w:overflowPunct/>
      <w:spacing w:before="480" w:line="280" w:lineRule="atLeast"/>
      <w:ind w:left="459" w:hanging="459"/>
      <w:textAlignment w:val="auto"/>
    </w:pPr>
    <w:rPr>
      <w:rFonts w:cs="Arial"/>
      <w:b/>
      <w:color w:val="000000"/>
      <w:sz w:val="20"/>
      <w:szCs w:val="24"/>
    </w:rPr>
  </w:style>
  <w:style w:type="paragraph" w:customStyle="1" w:styleId="Erlass-Datum">
    <w:name w:val="Erlass-Datum"/>
    <w:basedOn w:val="Normal"/>
    <w:rsid w:val="001E0BDE"/>
    <w:pPr>
      <w:overflowPunct/>
      <w:spacing w:before="120"/>
      <w:textAlignment w:val="auto"/>
    </w:pPr>
    <w:rPr>
      <w:rFonts w:cs="Arial"/>
      <w:color w:val="000000"/>
      <w:sz w:val="20"/>
      <w:szCs w:val="24"/>
    </w:rPr>
  </w:style>
  <w:style w:type="paragraph" w:customStyle="1" w:styleId="Erlass-Intro">
    <w:name w:val="Erlass-Intro"/>
    <w:basedOn w:val="Normal"/>
    <w:rsid w:val="001E0BDE"/>
    <w:pPr>
      <w:overflowPunct/>
      <w:spacing w:before="120"/>
      <w:textAlignment w:val="auto"/>
    </w:pPr>
    <w:rPr>
      <w:rFonts w:cs="Arial"/>
      <w:color w:val="000000"/>
      <w:sz w:val="20"/>
      <w:szCs w:val="24"/>
    </w:rPr>
  </w:style>
  <w:style w:type="paragraph" w:customStyle="1" w:styleId="G-UeberschriftUnterabschnitt1">
    <w:name w:val="G-Ueberschrift_Unterabschnitt_1"/>
    <w:basedOn w:val="ParagrafTitel"/>
    <w:rsid w:val="001E0BDE"/>
    <w:rPr>
      <w:b/>
      <w:i w:val="0"/>
      <w:color w:val="auto"/>
      <w:sz w:val="22"/>
      <w:szCs w:val="22"/>
    </w:rPr>
  </w:style>
  <w:style w:type="character" w:customStyle="1" w:styleId="verityhit">
    <w:name w:val="verityhit"/>
    <w:basedOn w:val="DefaultParagraphFont"/>
    <w:rsid w:val="001E0BDE"/>
  </w:style>
  <w:style w:type="character" w:customStyle="1" w:styleId="gr8">
    <w:name w:val="gr8"/>
    <w:basedOn w:val="DefaultParagraphFont"/>
    <w:rsid w:val="001E0BDE"/>
  </w:style>
  <w:style w:type="paragraph" w:customStyle="1" w:styleId="ListParagraph1">
    <w:name w:val="List Paragraph1"/>
    <w:basedOn w:val="Normal"/>
    <w:uiPriority w:val="34"/>
    <w:qFormat/>
    <w:rsid w:val="001E0BDE"/>
    <w:pPr>
      <w:overflowPunct/>
      <w:autoSpaceDE/>
      <w:autoSpaceDN/>
      <w:adjustRightInd/>
      <w:spacing w:after="200" w:line="276" w:lineRule="auto"/>
      <w:ind w:left="720"/>
      <w:contextualSpacing/>
      <w:textAlignment w:val="auto"/>
    </w:pPr>
    <w:rPr>
      <w:rFonts w:eastAsia="Calibri" w:cs="Arial"/>
      <w:sz w:val="20"/>
      <w:szCs w:val="22"/>
      <w:lang w:val="en-US" w:eastAsia="en-US"/>
    </w:rPr>
  </w:style>
  <w:style w:type="character" w:customStyle="1" w:styleId="HTMLPreformattedChar">
    <w:name w:val="HTML Preformatted Char"/>
    <w:link w:val="HTMLPreformatted"/>
    <w:uiPriority w:val="99"/>
    <w:rsid w:val="00672319"/>
    <w:rPr>
      <w:rFonts w:ascii="Courier New" w:hAnsi="Courier New" w:cs="Courier New"/>
      <w:lang w:val="de-DE" w:eastAsia="de-DE"/>
    </w:rPr>
  </w:style>
  <w:style w:type="character" w:customStyle="1" w:styleId="BodyTextChar">
    <w:name w:val="Body Text Char"/>
    <w:link w:val="BodyText"/>
    <w:rsid w:val="000A4E83"/>
    <w:rPr>
      <w:rFonts w:ascii="Arial" w:hAnsi="Arial"/>
      <w:sz w:val="22"/>
      <w:lang w:eastAsia="de-DE"/>
    </w:rPr>
  </w:style>
  <w:style w:type="paragraph" w:customStyle="1" w:styleId="ZchnZchn1ZchnZchnZchnZchnZchnZchn">
    <w:name w:val="Zchn Zchn1 Zchn Zchn Zchn Zchn Zchn Zchn"/>
    <w:basedOn w:val="Normal"/>
    <w:rsid w:val="000A4E83"/>
    <w:pPr>
      <w:overflowPunct/>
      <w:autoSpaceDE/>
      <w:autoSpaceDN/>
      <w:adjustRightInd/>
      <w:spacing w:after="160" w:line="240" w:lineRule="exact"/>
      <w:textAlignment w:val="auto"/>
    </w:pPr>
    <w:rPr>
      <w:sz w:val="20"/>
      <w:lang w:val="en-US" w:eastAsia="en-US"/>
    </w:rPr>
  </w:style>
  <w:style w:type="paragraph" w:customStyle="1" w:styleId="StyleCaptionArial10pt">
    <w:name w:val="Style Caption + Arial 10 pt"/>
    <w:basedOn w:val="Caption"/>
    <w:rsid w:val="000A4E83"/>
    <w:pPr>
      <w:overflowPunct/>
      <w:autoSpaceDE/>
      <w:autoSpaceDN/>
      <w:adjustRightInd/>
      <w:spacing w:before="120" w:line="290" w:lineRule="atLeast"/>
      <w:textAlignment w:val="auto"/>
    </w:pPr>
    <w:rPr>
      <w:b w:val="0"/>
      <w:bCs w:val="0"/>
      <w:i/>
      <w:iCs/>
      <w:lang w:eastAsia="en-US"/>
    </w:rPr>
  </w:style>
  <w:style w:type="paragraph" w:styleId="Caption">
    <w:name w:val="caption"/>
    <w:basedOn w:val="Normal"/>
    <w:next w:val="Normal"/>
    <w:qFormat/>
    <w:rsid w:val="000A4E83"/>
    <w:rPr>
      <w:b/>
      <w:bCs/>
      <w:sz w:val="20"/>
    </w:rPr>
  </w:style>
  <w:style w:type="paragraph" w:styleId="ListParagraph">
    <w:name w:val="List Paragraph"/>
    <w:basedOn w:val="Normal"/>
    <w:uiPriority w:val="99"/>
    <w:qFormat/>
    <w:rsid w:val="000A4E83"/>
    <w:pPr>
      <w:overflowPunct/>
      <w:adjustRightInd/>
      <w:spacing w:line="290" w:lineRule="atLeast"/>
      <w:ind w:left="720"/>
      <w:contextualSpacing/>
      <w:jc w:val="both"/>
      <w:textAlignment w:val="auto"/>
    </w:pPr>
    <w:rPr>
      <w:rFonts w:cs="Arial"/>
      <w:kern w:val="20"/>
      <w:szCs w:val="24"/>
      <w:lang w:eastAsia="en-US"/>
    </w:rPr>
  </w:style>
  <w:style w:type="character" w:customStyle="1" w:styleId="ArtikelChar">
    <w:name w:val="Artikel Char"/>
    <w:link w:val="Artikel"/>
    <w:locked/>
    <w:rsid w:val="000A4E83"/>
    <w:rPr>
      <w:rFonts w:ascii="Arial" w:hAnsi="Arial" w:cs="Arial"/>
      <w:sz w:val="22"/>
      <w:lang w:eastAsia="de-DE"/>
    </w:rPr>
  </w:style>
  <w:style w:type="paragraph" w:customStyle="1" w:styleId="Artikel">
    <w:name w:val="Artikel"/>
    <w:basedOn w:val="Normal"/>
    <w:link w:val="ArtikelChar"/>
    <w:rsid w:val="000A4E83"/>
    <w:pPr>
      <w:numPr>
        <w:ilvl w:val="12"/>
      </w:numPr>
      <w:tabs>
        <w:tab w:val="left" w:pos="284"/>
      </w:tabs>
      <w:spacing w:after="120" w:line="240" w:lineRule="atLeast"/>
      <w:jc w:val="both"/>
      <w:textAlignment w:val="auto"/>
    </w:pPr>
    <w:rPr>
      <w:rFonts w:cs="Arial"/>
    </w:rPr>
  </w:style>
  <w:style w:type="character" w:customStyle="1" w:styleId="ZchnZchn4">
    <w:name w:val="Zchn Zchn4"/>
    <w:rsid w:val="00F02C16"/>
    <w:rPr>
      <w:rFonts w:ascii="Arial" w:hAnsi="Arial"/>
      <w:sz w:val="22"/>
      <w:lang w:val="de-CH" w:eastAsia="de-DE" w:bidi="ar-SA"/>
    </w:rPr>
  </w:style>
  <w:style w:type="paragraph" w:customStyle="1" w:styleId="Revision1">
    <w:name w:val="Revision1"/>
    <w:hidden/>
    <w:uiPriority w:val="99"/>
    <w:semiHidden/>
    <w:rsid w:val="008A368D"/>
    <w:rPr>
      <w:rFonts w:ascii="Arial" w:hAnsi="Arial"/>
      <w:sz w:val="22"/>
      <w:lang w:eastAsia="de-DE"/>
    </w:rPr>
  </w:style>
  <w:style w:type="paragraph" w:styleId="Revision">
    <w:name w:val="Revision"/>
    <w:hidden/>
    <w:uiPriority w:val="99"/>
    <w:semiHidden/>
    <w:rsid w:val="00B21CFB"/>
    <w:rPr>
      <w:rFonts w:ascii="Arial" w:hAnsi="Arial"/>
      <w:sz w:val="22"/>
      <w:lang w:eastAsia="de-DE"/>
    </w:rPr>
  </w:style>
  <w:style w:type="character" w:customStyle="1" w:styleId="CommentTextChar">
    <w:name w:val="Comment Text Char"/>
    <w:link w:val="CommentText"/>
    <w:rsid w:val="00E06A45"/>
    <w:rPr>
      <w:rFonts w:ascii="Arial" w:hAnsi="Arial"/>
      <w:lang w:eastAsia="de-DE"/>
    </w:rPr>
  </w:style>
  <w:style w:type="character" w:customStyle="1" w:styleId="Heading1Char">
    <w:name w:val="Heading 1 Char"/>
    <w:aliases w:val="Section Heading Char"/>
    <w:basedOn w:val="DefaultParagraphFont"/>
    <w:link w:val="Heading1"/>
    <w:locked/>
    <w:rsid w:val="001B3268"/>
    <w:rPr>
      <w:rFonts w:ascii="Arial" w:hAnsi="Arial" w:cs="Arial"/>
      <w:b/>
      <w:bCs/>
      <w:kern w:val="32"/>
      <w:sz w:val="26"/>
      <w:szCs w:val="32"/>
      <w:lang w:eastAsia="de-DE"/>
    </w:rPr>
  </w:style>
  <w:style w:type="paragraph" w:customStyle="1" w:styleId="Artikel2">
    <w:name w:val="Artikel 2"/>
    <w:basedOn w:val="Artikel"/>
    <w:rsid w:val="00B918AE"/>
    <w:pPr>
      <w:tabs>
        <w:tab w:val="clear" w:pos="284"/>
        <w:tab w:val="left" w:pos="709"/>
      </w:tabs>
      <w:ind w:left="709" w:hanging="284"/>
      <w:textAlignment w:val="baseline"/>
    </w:pPr>
  </w:style>
  <w:style w:type="table" w:styleId="TableContemporary">
    <w:name w:val="Table Contemporary"/>
    <w:basedOn w:val="TableNormal"/>
    <w:rsid w:val="00963297"/>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uiPriority w:val="99"/>
    <w:rsid w:val="00913B2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39159276">
      <w:bodyDiv w:val="1"/>
      <w:marLeft w:val="0"/>
      <w:marRight w:val="0"/>
      <w:marTop w:val="0"/>
      <w:marBottom w:val="0"/>
      <w:divBdr>
        <w:top w:val="none" w:sz="0" w:space="0" w:color="auto"/>
        <w:left w:val="none" w:sz="0" w:space="0" w:color="auto"/>
        <w:bottom w:val="none" w:sz="0" w:space="0" w:color="auto"/>
        <w:right w:val="none" w:sz="0" w:space="0" w:color="auto"/>
      </w:divBdr>
    </w:div>
    <w:div w:id="314653529">
      <w:bodyDiv w:val="1"/>
      <w:marLeft w:val="0"/>
      <w:marRight w:val="0"/>
      <w:marTop w:val="0"/>
      <w:marBottom w:val="0"/>
      <w:divBdr>
        <w:top w:val="none" w:sz="0" w:space="0" w:color="auto"/>
        <w:left w:val="none" w:sz="0" w:space="0" w:color="auto"/>
        <w:bottom w:val="none" w:sz="0" w:space="0" w:color="auto"/>
        <w:right w:val="none" w:sz="0" w:space="0" w:color="auto"/>
      </w:divBdr>
      <w:divsChild>
        <w:div w:id="168066934">
          <w:marLeft w:val="0"/>
          <w:marRight w:val="0"/>
          <w:marTop w:val="0"/>
          <w:marBottom w:val="0"/>
          <w:divBdr>
            <w:top w:val="none" w:sz="0" w:space="0" w:color="auto"/>
            <w:left w:val="none" w:sz="0" w:space="0" w:color="auto"/>
            <w:bottom w:val="none" w:sz="0" w:space="0" w:color="auto"/>
            <w:right w:val="none" w:sz="0" w:space="0" w:color="auto"/>
          </w:divBdr>
        </w:div>
        <w:div w:id="659190464">
          <w:marLeft w:val="0"/>
          <w:marRight w:val="0"/>
          <w:marTop w:val="0"/>
          <w:marBottom w:val="0"/>
          <w:divBdr>
            <w:top w:val="none" w:sz="0" w:space="0" w:color="auto"/>
            <w:left w:val="none" w:sz="0" w:space="0" w:color="auto"/>
            <w:bottom w:val="none" w:sz="0" w:space="0" w:color="auto"/>
            <w:right w:val="none" w:sz="0" w:space="0" w:color="auto"/>
          </w:divBdr>
        </w:div>
        <w:div w:id="680280251">
          <w:marLeft w:val="0"/>
          <w:marRight w:val="0"/>
          <w:marTop w:val="0"/>
          <w:marBottom w:val="0"/>
          <w:divBdr>
            <w:top w:val="none" w:sz="0" w:space="0" w:color="auto"/>
            <w:left w:val="none" w:sz="0" w:space="0" w:color="auto"/>
            <w:bottom w:val="none" w:sz="0" w:space="0" w:color="auto"/>
            <w:right w:val="none" w:sz="0" w:space="0" w:color="auto"/>
          </w:divBdr>
        </w:div>
        <w:div w:id="707798725">
          <w:marLeft w:val="0"/>
          <w:marRight w:val="0"/>
          <w:marTop w:val="0"/>
          <w:marBottom w:val="0"/>
          <w:divBdr>
            <w:top w:val="none" w:sz="0" w:space="0" w:color="auto"/>
            <w:left w:val="none" w:sz="0" w:space="0" w:color="auto"/>
            <w:bottom w:val="none" w:sz="0" w:space="0" w:color="auto"/>
            <w:right w:val="none" w:sz="0" w:space="0" w:color="auto"/>
          </w:divBdr>
        </w:div>
        <w:div w:id="748499263">
          <w:marLeft w:val="0"/>
          <w:marRight w:val="0"/>
          <w:marTop w:val="0"/>
          <w:marBottom w:val="0"/>
          <w:divBdr>
            <w:top w:val="none" w:sz="0" w:space="0" w:color="auto"/>
            <w:left w:val="none" w:sz="0" w:space="0" w:color="auto"/>
            <w:bottom w:val="none" w:sz="0" w:space="0" w:color="auto"/>
            <w:right w:val="none" w:sz="0" w:space="0" w:color="auto"/>
          </w:divBdr>
        </w:div>
        <w:div w:id="1112095506">
          <w:marLeft w:val="0"/>
          <w:marRight w:val="0"/>
          <w:marTop w:val="0"/>
          <w:marBottom w:val="0"/>
          <w:divBdr>
            <w:top w:val="none" w:sz="0" w:space="0" w:color="auto"/>
            <w:left w:val="none" w:sz="0" w:space="0" w:color="auto"/>
            <w:bottom w:val="none" w:sz="0" w:space="0" w:color="auto"/>
            <w:right w:val="none" w:sz="0" w:space="0" w:color="auto"/>
          </w:divBdr>
        </w:div>
        <w:div w:id="1171989125">
          <w:marLeft w:val="0"/>
          <w:marRight w:val="0"/>
          <w:marTop w:val="0"/>
          <w:marBottom w:val="0"/>
          <w:divBdr>
            <w:top w:val="none" w:sz="0" w:space="0" w:color="auto"/>
            <w:left w:val="none" w:sz="0" w:space="0" w:color="auto"/>
            <w:bottom w:val="none" w:sz="0" w:space="0" w:color="auto"/>
            <w:right w:val="none" w:sz="0" w:space="0" w:color="auto"/>
          </w:divBdr>
        </w:div>
        <w:div w:id="1190605374">
          <w:marLeft w:val="0"/>
          <w:marRight w:val="0"/>
          <w:marTop w:val="0"/>
          <w:marBottom w:val="0"/>
          <w:divBdr>
            <w:top w:val="none" w:sz="0" w:space="0" w:color="auto"/>
            <w:left w:val="none" w:sz="0" w:space="0" w:color="auto"/>
            <w:bottom w:val="none" w:sz="0" w:space="0" w:color="auto"/>
            <w:right w:val="none" w:sz="0" w:space="0" w:color="auto"/>
          </w:divBdr>
        </w:div>
        <w:div w:id="1380324251">
          <w:marLeft w:val="0"/>
          <w:marRight w:val="0"/>
          <w:marTop w:val="0"/>
          <w:marBottom w:val="0"/>
          <w:divBdr>
            <w:top w:val="none" w:sz="0" w:space="0" w:color="auto"/>
            <w:left w:val="none" w:sz="0" w:space="0" w:color="auto"/>
            <w:bottom w:val="none" w:sz="0" w:space="0" w:color="auto"/>
            <w:right w:val="none" w:sz="0" w:space="0" w:color="auto"/>
          </w:divBdr>
        </w:div>
        <w:div w:id="1548688906">
          <w:marLeft w:val="0"/>
          <w:marRight w:val="0"/>
          <w:marTop w:val="0"/>
          <w:marBottom w:val="0"/>
          <w:divBdr>
            <w:top w:val="none" w:sz="0" w:space="0" w:color="auto"/>
            <w:left w:val="none" w:sz="0" w:space="0" w:color="auto"/>
            <w:bottom w:val="none" w:sz="0" w:space="0" w:color="auto"/>
            <w:right w:val="none" w:sz="0" w:space="0" w:color="auto"/>
          </w:divBdr>
        </w:div>
        <w:div w:id="1667786273">
          <w:marLeft w:val="0"/>
          <w:marRight w:val="0"/>
          <w:marTop w:val="0"/>
          <w:marBottom w:val="0"/>
          <w:divBdr>
            <w:top w:val="none" w:sz="0" w:space="0" w:color="auto"/>
            <w:left w:val="none" w:sz="0" w:space="0" w:color="auto"/>
            <w:bottom w:val="none" w:sz="0" w:space="0" w:color="auto"/>
            <w:right w:val="none" w:sz="0" w:space="0" w:color="auto"/>
          </w:divBdr>
        </w:div>
        <w:div w:id="1703364792">
          <w:marLeft w:val="0"/>
          <w:marRight w:val="0"/>
          <w:marTop w:val="0"/>
          <w:marBottom w:val="0"/>
          <w:divBdr>
            <w:top w:val="none" w:sz="0" w:space="0" w:color="auto"/>
            <w:left w:val="none" w:sz="0" w:space="0" w:color="auto"/>
            <w:bottom w:val="none" w:sz="0" w:space="0" w:color="auto"/>
            <w:right w:val="none" w:sz="0" w:space="0" w:color="auto"/>
          </w:divBdr>
        </w:div>
        <w:div w:id="1720932206">
          <w:marLeft w:val="0"/>
          <w:marRight w:val="0"/>
          <w:marTop w:val="0"/>
          <w:marBottom w:val="0"/>
          <w:divBdr>
            <w:top w:val="none" w:sz="0" w:space="0" w:color="auto"/>
            <w:left w:val="none" w:sz="0" w:space="0" w:color="auto"/>
            <w:bottom w:val="none" w:sz="0" w:space="0" w:color="auto"/>
            <w:right w:val="none" w:sz="0" w:space="0" w:color="auto"/>
          </w:divBdr>
        </w:div>
        <w:div w:id="1887790776">
          <w:marLeft w:val="0"/>
          <w:marRight w:val="0"/>
          <w:marTop w:val="0"/>
          <w:marBottom w:val="0"/>
          <w:divBdr>
            <w:top w:val="none" w:sz="0" w:space="0" w:color="auto"/>
            <w:left w:val="none" w:sz="0" w:space="0" w:color="auto"/>
            <w:bottom w:val="none" w:sz="0" w:space="0" w:color="auto"/>
            <w:right w:val="none" w:sz="0" w:space="0" w:color="auto"/>
          </w:divBdr>
        </w:div>
        <w:div w:id="1926956788">
          <w:marLeft w:val="0"/>
          <w:marRight w:val="0"/>
          <w:marTop w:val="0"/>
          <w:marBottom w:val="0"/>
          <w:divBdr>
            <w:top w:val="none" w:sz="0" w:space="0" w:color="auto"/>
            <w:left w:val="none" w:sz="0" w:space="0" w:color="auto"/>
            <w:bottom w:val="none" w:sz="0" w:space="0" w:color="auto"/>
            <w:right w:val="none" w:sz="0" w:space="0" w:color="auto"/>
          </w:divBdr>
        </w:div>
      </w:divsChild>
    </w:div>
    <w:div w:id="1120761838">
      <w:bodyDiv w:val="1"/>
      <w:marLeft w:val="0"/>
      <w:marRight w:val="0"/>
      <w:marTop w:val="0"/>
      <w:marBottom w:val="0"/>
      <w:divBdr>
        <w:top w:val="none" w:sz="0" w:space="0" w:color="auto"/>
        <w:left w:val="none" w:sz="0" w:space="0" w:color="auto"/>
        <w:bottom w:val="none" w:sz="0" w:space="0" w:color="auto"/>
        <w:right w:val="none" w:sz="0" w:space="0" w:color="auto"/>
      </w:divBdr>
      <w:divsChild>
        <w:div w:id="58674164">
          <w:marLeft w:val="0"/>
          <w:marRight w:val="0"/>
          <w:marTop w:val="0"/>
          <w:marBottom w:val="0"/>
          <w:divBdr>
            <w:top w:val="none" w:sz="0" w:space="0" w:color="auto"/>
            <w:left w:val="none" w:sz="0" w:space="0" w:color="auto"/>
            <w:bottom w:val="none" w:sz="0" w:space="0" w:color="auto"/>
            <w:right w:val="none" w:sz="0" w:space="0" w:color="auto"/>
          </w:divBdr>
        </w:div>
        <w:div w:id="167713778">
          <w:marLeft w:val="0"/>
          <w:marRight w:val="0"/>
          <w:marTop w:val="0"/>
          <w:marBottom w:val="0"/>
          <w:divBdr>
            <w:top w:val="none" w:sz="0" w:space="0" w:color="auto"/>
            <w:left w:val="none" w:sz="0" w:space="0" w:color="auto"/>
            <w:bottom w:val="none" w:sz="0" w:space="0" w:color="auto"/>
            <w:right w:val="none" w:sz="0" w:space="0" w:color="auto"/>
          </w:divBdr>
        </w:div>
        <w:div w:id="355232047">
          <w:marLeft w:val="0"/>
          <w:marRight w:val="0"/>
          <w:marTop w:val="0"/>
          <w:marBottom w:val="0"/>
          <w:divBdr>
            <w:top w:val="none" w:sz="0" w:space="0" w:color="auto"/>
            <w:left w:val="none" w:sz="0" w:space="0" w:color="auto"/>
            <w:bottom w:val="none" w:sz="0" w:space="0" w:color="auto"/>
            <w:right w:val="none" w:sz="0" w:space="0" w:color="auto"/>
          </w:divBdr>
        </w:div>
        <w:div w:id="539052241">
          <w:marLeft w:val="0"/>
          <w:marRight w:val="0"/>
          <w:marTop w:val="0"/>
          <w:marBottom w:val="0"/>
          <w:divBdr>
            <w:top w:val="none" w:sz="0" w:space="0" w:color="auto"/>
            <w:left w:val="none" w:sz="0" w:space="0" w:color="auto"/>
            <w:bottom w:val="none" w:sz="0" w:space="0" w:color="auto"/>
            <w:right w:val="none" w:sz="0" w:space="0" w:color="auto"/>
          </w:divBdr>
        </w:div>
        <w:div w:id="553004841">
          <w:marLeft w:val="0"/>
          <w:marRight w:val="0"/>
          <w:marTop w:val="0"/>
          <w:marBottom w:val="0"/>
          <w:divBdr>
            <w:top w:val="none" w:sz="0" w:space="0" w:color="auto"/>
            <w:left w:val="none" w:sz="0" w:space="0" w:color="auto"/>
            <w:bottom w:val="none" w:sz="0" w:space="0" w:color="auto"/>
            <w:right w:val="none" w:sz="0" w:space="0" w:color="auto"/>
          </w:divBdr>
        </w:div>
        <w:div w:id="628437880">
          <w:marLeft w:val="0"/>
          <w:marRight w:val="0"/>
          <w:marTop w:val="0"/>
          <w:marBottom w:val="0"/>
          <w:divBdr>
            <w:top w:val="none" w:sz="0" w:space="0" w:color="auto"/>
            <w:left w:val="none" w:sz="0" w:space="0" w:color="auto"/>
            <w:bottom w:val="none" w:sz="0" w:space="0" w:color="auto"/>
            <w:right w:val="none" w:sz="0" w:space="0" w:color="auto"/>
          </w:divBdr>
        </w:div>
        <w:div w:id="883757016">
          <w:marLeft w:val="0"/>
          <w:marRight w:val="0"/>
          <w:marTop w:val="0"/>
          <w:marBottom w:val="0"/>
          <w:divBdr>
            <w:top w:val="none" w:sz="0" w:space="0" w:color="auto"/>
            <w:left w:val="none" w:sz="0" w:space="0" w:color="auto"/>
            <w:bottom w:val="none" w:sz="0" w:space="0" w:color="auto"/>
            <w:right w:val="none" w:sz="0" w:space="0" w:color="auto"/>
          </w:divBdr>
        </w:div>
        <w:div w:id="1339843330">
          <w:marLeft w:val="0"/>
          <w:marRight w:val="0"/>
          <w:marTop w:val="0"/>
          <w:marBottom w:val="0"/>
          <w:divBdr>
            <w:top w:val="none" w:sz="0" w:space="0" w:color="auto"/>
            <w:left w:val="none" w:sz="0" w:space="0" w:color="auto"/>
            <w:bottom w:val="none" w:sz="0" w:space="0" w:color="auto"/>
            <w:right w:val="none" w:sz="0" w:space="0" w:color="auto"/>
          </w:divBdr>
        </w:div>
        <w:div w:id="1393770215">
          <w:marLeft w:val="0"/>
          <w:marRight w:val="0"/>
          <w:marTop w:val="0"/>
          <w:marBottom w:val="0"/>
          <w:divBdr>
            <w:top w:val="none" w:sz="0" w:space="0" w:color="auto"/>
            <w:left w:val="none" w:sz="0" w:space="0" w:color="auto"/>
            <w:bottom w:val="none" w:sz="0" w:space="0" w:color="auto"/>
            <w:right w:val="none" w:sz="0" w:space="0" w:color="auto"/>
          </w:divBdr>
        </w:div>
        <w:div w:id="1496191789">
          <w:marLeft w:val="0"/>
          <w:marRight w:val="0"/>
          <w:marTop w:val="0"/>
          <w:marBottom w:val="0"/>
          <w:divBdr>
            <w:top w:val="none" w:sz="0" w:space="0" w:color="auto"/>
            <w:left w:val="none" w:sz="0" w:space="0" w:color="auto"/>
            <w:bottom w:val="none" w:sz="0" w:space="0" w:color="auto"/>
            <w:right w:val="none" w:sz="0" w:space="0" w:color="auto"/>
          </w:divBdr>
        </w:div>
        <w:div w:id="1573469189">
          <w:marLeft w:val="0"/>
          <w:marRight w:val="0"/>
          <w:marTop w:val="0"/>
          <w:marBottom w:val="0"/>
          <w:divBdr>
            <w:top w:val="none" w:sz="0" w:space="0" w:color="auto"/>
            <w:left w:val="none" w:sz="0" w:space="0" w:color="auto"/>
            <w:bottom w:val="none" w:sz="0" w:space="0" w:color="auto"/>
            <w:right w:val="none" w:sz="0" w:space="0" w:color="auto"/>
          </w:divBdr>
        </w:div>
        <w:div w:id="1594976979">
          <w:marLeft w:val="0"/>
          <w:marRight w:val="0"/>
          <w:marTop w:val="0"/>
          <w:marBottom w:val="0"/>
          <w:divBdr>
            <w:top w:val="none" w:sz="0" w:space="0" w:color="auto"/>
            <w:left w:val="none" w:sz="0" w:space="0" w:color="auto"/>
            <w:bottom w:val="none" w:sz="0" w:space="0" w:color="auto"/>
            <w:right w:val="none" w:sz="0" w:space="0" w:color="auto"/>
          </w:divBdr>
        </w:div>
        <w:div w:id="1643735805">
          <w:marLeft w:val="0"/>
          <w:marRight w:val="0"/>
          <w:marTop w:val="0"/>
          <w:marBottom w:val="0"/>
          <w:divBdr>
            <w:top w:val="none" w:sz="0" w:space="0" w:color="auto"/>
            <w:left w:val="none" w:sz="0" w:space="0" w:color="auto"/>
            <w:bottom w:val="none" w:sz="0" w:space="0" w:color="auto"/>
            <w:right w:val="none" w:sz="0" w:space="0" w:color="auto"/>
          </w:divBdr>
        </w:div>
        <w:div w:id="1730227782">
          <w:marLeft w:val="0"/>
          <w:marRight w:val="0"/>
          <w:marTop w:val="0"/>
          <w:marBottom w:val="0"/>
          <w:divBdr>
            <w:top w:val="none" w:sz="0" w:space="0" w:color="auto"/>
            <w:left w:val="none" w:sz="0" w:space="0" w:color="auto"/>
            <w:bottom w:val="none" w:sz="0" w:space="0" w:color="auto"/>
            <w:right w:val="none" w:sz="0" w:space="0" w:color="auto"/>
          </w:divBdr>
        </w:div>
        <w:div w:id="1873763290">
          <w:marLeft w:val="0"/>
          <w:marRight w:val="0"/>
          <w:marTop w:val="0"/>
          <w:marBottom w:val="0"/>
          <w:divBdr>
            <w:top w:val="none" w:sz="0" w:space="0" w:color="auto"/>
            <w:left w:val="none" w:sz="0" w:space="0" w:color="auto"/>
            <w:bottom w:val="none" w:sz="0" w:space="0" w:color="auto"/>
            <w:right w:val="none" w:sz="0" w:space="0" w:color="auto"/>
          </w:divBdr>
        </w:div>
      </w:divsChild>
    </w:div>
    <w:div w:id="1251309753">
      <w:bodyDiv w:val="1"/>
      <w:marLeft w:val="0"/>
      <w:marRight w:val="0"/>
      <w:marTop w:val="0"/>
      <w:marBottom w:val="0"/>
      <w:divBdr>
        <w:top w:val="none" w:sz="0" w:space="0" w:color="auto"/>
        <w:left w:val="none" w:sz="0" w:space="0" w:color="auto"/>
        <w:bottom w:val="none" w:sz="0" w:space="0" w:color="auto"/>
        <w:right w:val="none" w:sz="0" w:space="0" w:color="auto"/>
      </w:divBdr>
    </w:div>
    <w:div w:id="1617522233">
      <w:bodyDiv w:val="1"/>
      <w:marLeft w:val="0"/>
      <w:marRight w:val="0"/>
      <w:marTop w:val="0"/>
      <w:marBottom w:val="0"/>
      <w:divBdr>
        <w:top w:val="none" w:sz="0" w:space="0" w:color="auto"/>
        <w:left w:val="none" w:sz="0" w:space="0" w:color="auto"/>
        <w:bottom w:val="none" w:sz="0" w:space="0" w:color="auto"/>
        <w:right w:val="none" w:sz="0" w:space="0" w:color="auto"/>
      </w:divBdr>
    </w:div>
    <w:div w:id="1620801622">
      <w:bodyDiv w:val="1"/>
      <w:marLeft w:val="0"/>
      <w:marRight w:val="0"/>
      <w:marTop w:val="0"/>
      <w:marBottom w:val="0"/>
      <w:divBdr>
        <w:top w:val="none" w:sz="0" w:space="0" w:color="auto"/>
        <w:left w:val="none" w:sz="0" w:space="0" w:color="auto"/>
        <w:bottom w:val="none" w:sz="0" w:space="0" w:color="auto"/>
        <w:right w:val="none" w:sz="0" w:space="0" w:color="auto"/>
      </w:divBdr>
      <w:divsChild>
        <w:div w:id="1199663785">
          <w:marLeft w:val="0"/>
          <w:marRight w:val="0"/>
          <w:marTop w:val="0"/>
          <w:marBottom w:val="0"/>
          <w:divBdr>
            <w:top w:val="none" w:sz="0" w:space="0" w:color="auto"/>
            <w:left w:val="none" w:sz="0" w:space="0" w:color="auto"/>
            <w:bottom w:val="none" w:sz="0" w:space="0" w:color="auto"/>
            <w:right w:val="none" w:sz="0" w:space="0" w:color="auto"/>
          </w:divBdr>
        </w:div>
        <w:div w:id="1864587102">
          <w:marLeft w:val="0"/>
          <w:marRight w:val="0"/>
          <w:marTop w:val="0"/>
          <w:marBottom w:val="0"/>
          <w:divBdr>
            <w:top w:val="none" w:sz="0" w:space="0" w:color="auto"/>
            <w:left w:val="none" w:sz="0" w:space="0" w:color="auto"/>
            <w:bottom w:val="none" w:sz="0" w:space="0" w:color="auto"/>
            <w:right w:val="none" w:sz="0" w:space="0" w:color="auto"/>
          </w:divBdr>
        </w:div>
        <w:div w:id="1946693972">
          <w:marLeft w:val="0"/>
          <w:marRight w:val="0"/>
          <w:marTop w:val="0"/>
          <w:marBottom w:val="0"/>
          <w:divBdr>
            <w:top w:val="none" w:sz="0" w:space="0" w:color="auto"/>
            <w:left w:val="none" w:sz="0" w:space="0" w:color="auto"/>
            <w:bottom w:val="none" w:sz="0" w:space="0" w:color="auto"/>
            <w:right w:val="none" w:sz="0" w:space="0" w:color="auto"/>
          </w:divBdr>
        </w:div>
        <w:div w:id="1957979823">
          <w:marLeft w:val="0"/>
          <w:marRight w:val="0"/>
          <w:marTop w:val="0"/>
          <w:marBottom w:val="0"/>
          <w:divBdr>
            <w:top w:val="none" w:sz="0" w:space="0" w:color="auto"/>
            <w:left w:val="none" w:sz="0" w:space="0" w:color="auto"/>
            <w:bottom w:val="none" w:sz="0" w:space="0" w:color="auto"/>
            <w:right w:val="none" w:sz="0" w:space="0" w:color="auto"/>
          </w:divBdr>
        </w:div>
      </w:divsChild>
    </w:div>
    <w:div w:id="1700009169">
      <w:bodyDiv w:val="1"/>
      <w:marLeft w:val="0"/>
      <w:marRight w:val="0"/>
      <w:marTop w:val="0"/>
      <w:marBottom w:val="0"/>
      <w:divBdr>
        <w:top w:val="none" w:sz="0" w:space="0" w:color="auto"/>
        <w:left w:val="none" w:sz="0" w:space="0" w:color="auto"/>
        <w:bottom w:val="none" w:sz="0" w:space="0" w:color="auto"/>
        <w:right w:val="none" w:sz="0" w:space="0" w:color="auto"/>
      </w:divBdr>
    </w:div>
    <w:div w:id="1748845149">
      <w:bodyDiv w:val="1"/>
      <w:marLeft w:val="0"/>
      <w:marRight w:val="0"/>
      <w:marTop w:val="0"/>
      <w:marBottom w:val="0"/>
      <w:divBdr>
        <w:top w:val="none" w:sz="0" w:space="0" w:color="auto"/>
        <w:left w:val="none" w:sz="0" w:space="0" w:color="auto"/>
        <w:bottom w:val="none" w:sz="0" w:space="0" w:color="auto"/>
        <w:right w:val="none" w:sz="0" w:space="0" w:color="auto"/>
      </w:divBdr>
    </w:div>
    <w:div w:id="1780488028">
      <w:bodyDiv w:val="1"/>
      <w:marLeft w:val="0"/>
      <w:marRight w:val="0"/>
      <w:marTop w:val="0"/>
      <w:marBottom w:val="0"/>
      <w:divBdr>
        <w:top w:val="none" w:sz="0" w:space="0" w:color="auto"/>
        <w:left w:val="none" w:sz="0" w:space="0" w:color="auto"/>
        <w:bottom w:val="none" w:sz="0" w:space="0" w:color="auto"/>
        <w:right w:val="none" w:sz="0" w:space="0" w:color="auto"/>
      </w:divBdr>
      <w:divsChild>
        <w:div w:id="266350383">
          <w:marLeft w:val="0"/>
          <w:marRight w:val="0"/>
          <w:marTop w:val="0"/>
          <w:marBottom w:val="0"/>
          <w:divBdr>
            <w:top w:val="none" w:sz="0" w:space="0" w:color="auto"/>
            <w:left w:val="none" w:sz="0" w:space="0" w:color="auto"/>
            <w:bottom w:val="none" w:sz="0" w:space="0" w:color="auto"/>
            <w:right w:val="none" w:sz="0" w:space="0" w:color="auto"/>
          </w:divBdr>
        </w:div>
        <w:div w:id="339162289">
          <w:marLeft w:val="0"/>
          <w:marRight w:val="0"/>
          <w:marTop w:val="0"/>
          <w:marBottom w:val="0"/>
          <w:divBdr>
            <w:top w:val="none" w:sz="0" w:space="0" w:color="auto"/>
            <w:left w:val="none" w:sz="0" w:space="0" w:color="auto"/>
            <w:bottom w:val="none" w:sz="0" w:space="0" w:color="auto"/>
            <w:right w:val="none" w:sz="0" w:space="0" w:color="auto"/>
          </w:divBdr>
        </w:div>
        <w:div w:id="463042766">
          <w:marLeft w:val="0"/>
          <w:marRight w:val="0"/>
          <w:marTop w:val="0"/>
          <w:marBottom w:val="0"/>
          <w:divBdr>
            <w:top w:val="none" w:sz="0" w:space="0" w:color="auto"/>
            <w:left w:val="none" w:sz="0" w:space="0" w:color="auto"/>
            <w:bottom w:val="none" w:sz="0" w:space="0" w:color="auto"/>
            <w:right w:val="none" w:sz="0" w:space="0" w:color="auto"/>
          </w:divBdr>
        </w:div>
        <w:div w:id="476528448">
          <w:marLeft w:val="0"/>
          <w:marRight w:val="0"/>
          <w:marTop w:val="0"/>
          <w:marBottom w:val="0"/>
          <w:divBdr>
            <w:top w:val="none" w:sz="0" w:space="0" w:color="auto"/>
            <w:left w:val="none" w:sz="0" w:space="0" w:color="auto"/>
            <w:bottom w:val="none" w:sz="0" w:space="0" w:color="auto"/>
            <w:right w:val="none" w:sz="0" w:space="0" w:color="auto"/>
          </w:divBdr>
        </w:div>
        <w:div w:id="614100635">
          <w:marLeft w:val="0"/>
          <w:marRight w:val="0"/>
          <w:marTop w:val="0"/>
          <w:marBottom w:val="0"/>
          <w:divBdr>
            <w:top w:val="none" w:sz="0" w:space="0" w:color="auto"/>
            <w:left w:val="none" w:sz="0" w:space="0" w:color="auto"/>
            <w:bottom w:val="none" w:sz="0" w:space="0" w:color="auto"/>
            <w:right w:val="none" w:sz="0" w:space="0" w:color="auto"/>
          </w:divBdr>
        </w:div>
        <w:div w:id="716439657">
          <w:marLeft w:val="0"/>
          <w:marRight w:val="0"/>
          <w:marTop w:val="0"/>
          <w:marBottom w:val="0"/>
          <w:divBdr>
            <w:top w:val="none" w:sz="0" w:space="0" w:color="auto"/>
            <w:left w:val="none" w:sz="0" w:space="0" w:color="auto"/>
            <w:bottom w:val="none" w:sz="0" w:space="0" w:color="auto"/>
            <w:right w:val="none" w:sz="0" w:space="0" w:color="auto"/>
          </w:divBdr>
        </w:div>
        <w:div w:id="843932517">
          <w:marLeft w:val="0"/>
          <w:marRight w:val="0"/>
          <w:marTop w:val="0"/>
          <w:marBottom w:val="0"/>
          <w:divBdr>
            <w:top w:val="none" w:sz="0" w:space="0" w:color="auto"/>
            <w:left w:val="none" w:sz="0" w:space="0" w:color="auto"/>
            <w:bottom w:val="none" w:sz="0" w:space="0" w:color="auto"/>
            <w:right w:val="none" w:sz="0" w:space="0" w:color="auto"/>
          </w:divBdr>
        </w:div>
        <w:div w:id="844169372">
          <w:marLeft w:val="0"/>
          <w:marRight w:val="0"/>
          <w:marTop w:val="0"/>
          <w:marBottom w:val="0"/>
          <w:divBdr>
            <w:top w:val="none" w:sz="0" w:space="0" w:color="auto"/>
            <w:left w:val="none" w:sz="0" w:space="0" w:color="auto"/>
            <w:bottom w:val="none" w:sz="0" w:space="0" w:color="auto"/>
            <w:right w:val="none" w:sz="0" w:space="0" w:color="auto"/>
          </w:divBdr>
        </w:div>
        <w:div w:id="903491601">
          <w:marLeft w:val="0"/>
          <w:marRight w:val="0"/>
          <w:marTop w:val="0"/>
          <w:marBottom w:val="0"/>
          <w:divBdr>
            <w:top w:val="none" w:sz="0" w:space="0" w:color="auto"/>
            <w:left w:val="none" w:sz="0" w:space="0" w:color="auto"/>
            <w:bottom w:val="none" w:sz="0" w:space="0" w:color="auto"/>
            <w:right w:val="none" w:sz="0" w:space="0" w:color="auto"/>
          </w:divBdr>
        </w:div>
        <w:div w:id="1166627377">
          <w:marLeft w:val="0"/>
          <w:marRight w:val="0"/>
          <w:marTop w:val="0"/>
          <w:marBottom w:val="0"/>
          <w:divBdr>
            <w:top w:val="none" w:sz="0" w:space="0" w:color="auto"/>
            <w:left w:val="none" w:sz="0" w:space="0" w:color="auto"/>
            <w:bottom w:val="none" w:sz="0" w:space="0" w:color="auto"/>
            <w:right w:val="none" w:sz="0" w:space="0" w:color="auto"/>
          </w:divBdr>
        </w:div>
        <w:div w:id="1367218883">
          <w:marLeft w:val="0"/>
          <w:marRight w:val="0"/>
          <w:marTop w:val="0"/>
          <w:marBottom w:val="0"/>
          <w:divBdr>
            <w:top w:val="none" w:sz="0" w:space="0" w:color="auto"/>
            <w:left w:val="none" w:sz="0" w:space="0" w:color="auto"/>
            <w:bottom w:val="none" w:sz="0" w:space="0" w:color="auto"/>
            <w:right w:val="none" w:sz="0" w:space="0" w:color="auto"/>
          </w:divBdr>
        </w:div>
        <w:div w:id="1489638695">
          <w:marLeft w:val="0"/>
          <w:marRight w:val="0"/>
          <w:marTop w:val="0"/>
          <w:marBottom w:val="0"/>
          <w:divBdr>
            <w:top w:val="none" w:sz="0" w:space="0" w:color="auto"/>
            <w:left w:val="none" w:sz="0" w:space="0" w:color="auto"/>
            <w:bottom w:val="none" w:sz="0" w:space="0" w:color="auto"/>
            <w:right w:val="none" w:sz="0" w:space="0" w:color="auto"/>
          </w:divBdr>
        </w:div>
        <w:div w:id="1713309762">
          <w:marLeft w:val="0"/>
          <w:marRight w:val="0"/>
          <w:marTop w:val="0"/>
          <w:marBottom w:val="0"/>
          <w:divBdr>
            <w:top w:val="none" w:sz="0" w:space="0" w:color="auto"/>
            <w:left w:val="none" w:sz="0" w:space="0" w:color="auto"/>
            <w:bottom w:val="none" w:sz="0" w:space="0" w:color="auto"/>
            <w:right w:val="none" w:sz="0" w:space="0" w:color="auto"/>
          </w:divBdr>
        </w:div>
        <w:div w:id="1734886929">
          <w:marLeft w:val="0"/>
          <w:marRight w:val="0"/>
          <w:marTop w:val="0"/>
          <w:marBottom w:val="0"/>
          <w:divBdr>
            <w:top w:val="none" w:sz="0" w:space="0" w:color="auto"/>
            <w:left w:val="none" w:sz="0" w:space="0" w:color="auto"/>
            <w:bottom w:val="none" w:sz="0" w:space="0" w:color="auto"/>
            <w:right w:val="none" w:sz="0" w:space="0" w:color="auto"/>
          </w:divBdr>
        </w:div>
        <w:div w:id="2111049351">
          <w:marLeft w:val="0"/>
          <w:marRight w:val="0"/>
          <w:marTop w:val="0"/>
          <w:marBottom w:val="0"/>
          <w:divBdr>
            <w:top w:val="none" w:sz="0" w:space="0" w:color="auto"/>
            <w:left w:val="none" w:sz="0" w:space="0" w:color="auto"/>
            <w:bottom w:val="none" w:sz="0" w:space="0" w:color="auto"/>
            <w:right w:val="none" w:sz="0" w:space="0" w:color="auto"/>
          </w:divBdr>
        </w:div>
      </w:divsChild>
    </w:div>
    <w:div w:id="1933859505">
      <w:bodyDiv w:val="1"/>
      <w:marLeft w:val="0"/>
      <w:marRight w:val="0"/>
      <w:marTop w:val="0"/>
      <w:marBottom w:val="0"/>
      <w:divBdr>
        <w:top w:val="none" w:sz="0" w:space="0" w:color="auto"/>
        <w:left w:val="none" w:sz="0" w:space="0" w:color="auto"/>
        <w:bottom w:val="none" w:sz="0" w:space="0" w:color="auto"/>
        <w:right w:val="none" w:sz="0" w:space="0" w:color="auto"/>
      </w:divBdr>
    </w:div>
    <w:div w:id="2086417440">
      <w:bodyDiv w:val="1"/>
      <w:marLeft w:val="0"/>
      <w:marRight w:val="0"/>
      <w:marTop w:val="0"/>
      <w:marBottom w:val="0"/>
      <w:divBdr>
        <w:top w:val="none" w:sz="0" w:space="0" w:color="auto"/>
        <w:left w:val="none" w:sz="0" w:space="0" w:color="auto"/>
        <w:bottom w:val="none" w:sz="0" w:space="0" w:color="auto"/>
        <w:right w:val="none" w:sz="0" w:space="0" w:color="auto"/>
      </w:divBdr>
      <w:divsChild>
        <w:div w:id="359405116">
          <w:marLeft w:val="0"/>
          <w:marRight w:val="0"/>
          <w:marTop w:val="0"/>
          <w:marBottom w:val="0"/>
          <w:divBdr>
            <w:top w:val="none" w:sz="0" w:space="0" w:color="auto"/>
            <w:left w:val="none" w:sz="0" w:space="0" w:color="auto"/>
            <w:bottom w:val="none" w:sz="0" w:space="0" w:color="auto"/>
            <w:right w:val="none" w:sz="0" w:space="0" w:color="auto"/>
          </w:divBdr>
        </w:div>
        <w:div w:id="549876444">
          <w:marLeft w:val="0"/>
          <w:marRight w:val="0"/>
          <w:marTop w:val="0"/>
          <w:marBottom w:val="0"/>
          <w:divBdr>
            <w:top w:val="none" w:sz="0" w:space="0" w:color="auto"/>
            <w:left w:val="none" w:sz="0" w:space="0" w:color="auto"/>
            <w:bottom w:val="none" w:sz="0" w:space="0" w:color="auto"/>
            <w:right w:val="none" w:sz="0" w:space="0" w:color="auto"/>
          </w:divBdr>
        </w:div>
        <w:div w:id="708071396">
          <w:marLeft w:val="0"/>
          <w:marRight w:val="0"/>
          <w:marTop w:val="0"/>
          <w:marBottom w:val="0"/>
          <w:divBdr>
            <w:top w:val="none" w:sz="0" w:space="0" w:color="auto"/>
            <w:left w:val="none" w:sz="0" w:space="0" w:color="auto"/>
            <w:bottom w:val="none" w:sz="0" w:space="0" w:color="auto"/>
            <w:right w:val="none" w:sz="0" w:space="0" w:color="auto"/>
          </w:divBdr>
        </w:div>
        <w:div w:id="885027995">
          <w:marLeft w:val="0"/>
          <w:marRight w:val="0"/>
          <w:marTop w:val="0"/>
          <w:marBottom w:val="0"/>
          <w:divBdr>
            <w:top w:val="none" w:sz="0" w:space="0" w:color="auto"/>
            <w:left w:val="none" w:sz="0" w:space="0" w:color="auto"/>
            <w:bottom w:val="none" w:sz="0" w:space="0" w:color="auto"/>
            <w:right w:val="none" w:sz="0" w:space="0" w:color="auto"/>
          </w:divBdr>
        </w:div>
        <w:div w:id="916860815">
          <w:marLeft w:val="0"/>
          <w:marRight w:val="0"/>
          <w:marTop w:val="0"/>
          <w:marBottom w:val="0"/>
          <w:divBdr>
            <w:top w:val="none" w:sz="0" w:space="0" w:color="auto"/>
            <w:left w:val="none" w:sz="0" w:space="0" w:color="auto"/>
            <w:bottom w:val="none" w:sz="0" w:space="0" w:color="auto"/>
            <w:right w:val="none" w:sz="0" w:space="0" w:color="auto"/>
          </w:divBdr>
        </w:div>
        <w:div w:id="1078358320">
          <w:marLeft w:val="0"/>
          <w:marRight w:val="0"/>
          <w:marTop w:val="0"/>
          <w:marBottom w:val="0"/>
          <w:divBdr>
            <w:top w:val="none" w:sz="0" w:space="0" w:color="auto"/>
            <w:left w:val="none" w:sz="0" w:space="0" w:color="auto"/>
            <w:bottom w:val="none" w:sz="0" w:space="0" w:color="auto"/>
            <w:right w:val="none" w:sz="0" w:space="0" w:color="auto"/>
          </w:divBdr>
        </w:div>
        <w:div w:id="1080831038">
          <w:marLeft w:val="0"/>
          <w:marRight w:val="0"/>
          <w:marTop w:val="0"/>
          <w:marBottom w:val="0"/>
          <w:divBdr>
            <w:top w:val="none" w:sz="0" w:space="0" w:color="auto"/>
            <w:left w:val="none" w:sz="0" w:space="0" w:color="auto"/>
            <w:bottom w:val="none" w:sz="0" w:space="0" w:color="auto"/>
            <w:right w:val="none" w:sz="0" w:space="0" w:color="auto"/>
          </w:divBdr>
        </w:div>
        <w:div w:id="1335105302">
          <w:marLeft w:val="0"/>
          <w:marRight w:val="0"/>
          <w:marTop w:val="0"/>
          <w:marBottom w:val="0"/>
          <w:divBdr>
            <w:top w:val="none" w:sz="0" w:space="0" w:color="auto"/>
            <w:left w:val="none" w:sz="0" w:space="0" w:color="auto"/>
            <w:bottom w:val="none" w:sz="0" w:space="0" w:color="auto"/>
            <w:right w:val="none" w:sz="0" w:space="0" w:color="auto"/>
          </w:divBdr>
        </w:div>
        <w:div w:id="1469318299">
          <w:marLeft w:val="0"/>
          <w:marRight w:val="0"/>
          <w:marTop w:val="0"/>
          <w:marBottom w:val="0"/>
          <w:divBdr>
            <w:top w:val="none" w:sz="0" w:space="0" w:color="auto"/>
            <w:left w:val="none" w:sz="0" w:space="0" w:color="auto"/>
            <w:bottom w:val="none" w:sz="0" w:space="0" w:color="auto"/>
            <w:right w:val="none" w:sz="0" w:space="0" w:color="auto"/>
          </w:divBdr>
        </w:div>
        <w:div w:id="1708524798">
          <w:marLeft w:val="0"/>
          <w:marRight w:val="0"/>
          <w:marTop w:val="0"/>
          <w:marBottom w:val="0"/>
          <w:divBdr>
            <w:top w:val="none" w:sz="0" w:space="0" w:color="auto"/>
            <w:left w:val="none" w:sz="0" w:space="0" w:color="auto"/>
            <w:bottom w:val="none" w:sz="0" w:space="0" w:color="auto"/>
            <w:right w:val="none" w:sz="0" w:space="0" w:color="auto"/>
          </w:divBdr>
        </w:div>
        <w:div w:id="1741512779">
          <w:marLeft w:val="0"/>
          <w:marRight w:val="0"/>
          <w:marTop w:val="0"/>
          <w:marBottom w:val="0"/>
          <w:divBdr>
            <w:top w:val="none" w:sz="0" w:space="0" w:color="auto"/>
            <w:left w:val="none" w:sz="0" w:space="0" w:color="auto"/>
            <w:bottom w:val="none" w:sz="0" w:space="0" w:color="auto"/>
            <w:right w:val="none" w:sz="0" w:space="0" w:color="auto"/>
          </w:divBdr>
        </w:div>
        <w:div w:id="1801536646">
          <w:marLeft w:val="0"/>
          <w:marRight w:val="0"/>
          <w:marTop w:val="0"/>
          <w:marBottom w:val="0"/>
          <w:divBdr>
            <w:top w:val="none" w:sz="0" w:space="0" w:color="auto"/>
            <w:left w:val="none" w:sz="0" w:space="0" w:color="auto"/>
            <w:bottom w:val="none" w:sz="0" w:space="0" w:color="auto"/>
            <w:right w:val="none" w:sz="0" w:space="0" w:color="auto"/>
          </w:divBdr>
        </w:div>
        <w:div w:id="1904873257">
          <w:marLeft w:val="0"/>
          <w:marRight w:val="0"/>
          <w:marTop w:val="0"/>
          <w:marBottom w:val="0"/>
          <w:divBdr>
            <w:top w:val="none" w:sz="0" w:space="0" w:color="auto"/>
            <w:left w:val="none" w:sz="0" w:space="0" w:color="auto"/>
            <w:bottom w:val="none" w:sz="0" w:space="0" w:color="auto"/>
            <w:right w:val="none" w:sz="0" w:space="0" w:color="auto"/>
          </w:divBdr>
        </w:div>
        <w:div w:id="1929193588">
          <w:marLeft w:val="0"/>
          <w:marRight w:val="0"/>
          <w:marTop w:val="0"/>
          <w:marBottom w:val="0"/>
          <w:divBdr>
            <w:top w:val="none" w:sz="0" w:space="0" w:color="auto"/>
            <w:left w:val="none" w:sz="0" w:space="0" w:color="auto"/>
            <w:bottom w:val="none" w:sz="0" w:space="0" w:color="auto"/>
            <w:right w:val="none" w:sz="0" w:space="0" w:color="auto"/>
          </w:divBdr>
        </w:div>
        <w:div w:id="205180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jucea\Anwendungsdaten\Microsoft\Vorlagen\VorlagenAC\A-Ratsch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EA2D-AD80-4811-8AA2-0F748BB6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A-Ratschlag</Template>
  <TotalTime>0</TotalTime>
  <Pages>45</Pages>
  <Words>12620</Words>
  <Characters>89954</Characters>
  <Application>Microsoft Office Word</Application>
  <DocSecurity>0</DocSecurity>
  <Lines>749</Lines>
  <Paragraphs>204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Ratschlag Totalrevision PKG</vt:lpstr>
      <vt:lpstr>Ratschlag Totalrevision PKG</vt:lpstr>
    </vt:vector>
  </TitlesOfParts>
  <Company>Swisscanto</Company>
  <LinksUpToDate>false</LinksUpToDate>
  <CharactersWithSpaces>102370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Ratschlag Totalrevision PKG</dc:title>
  <dc:creator>Peter Schwendener;Patrick Spuhler</dc:creator>
  <cp:lastModifiedBy>Einwohnergemeinde</cp:lastModifiedBy>
  <cp:revision>2</cp:revision>
  <cp:lastPrinted>2013-06-12T12:59:00Z</cp:lastPrinted>
  <dcterms:created xsi:type="dcterms:W3CDTF">2013-06-12T13:38:00Z</dcterms:created>
  <dcterms:modified xsi:type="dcterms:W3CDTF">2013-06-12T13:38:00Z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