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00" w:rsidRPr="007A047D" w:rsidRDefault="00A82500">
      <w:pPr>
        <w:jc w:val="center"/>
        <w:rPr>
          <w:rFonts w:ascii="Arial" w:hAnsi="Arial" w:cs="Arial"/>
          <w:sz w:val="28"/>
          <w:szCs w:val="28"/>
        </w:rPr>
      </w:pPr>
      <w:r w:rsidRPr="007A047D">
        <w:rPr>
          <w:rFonts w:ascii="Arial" w:hAnsi="Arial" w:cs="Arial"/>
          <w:sz w:val="28"/>
          <w:szCs w:val="28"/>
        </w:rPr>
        <w:t>Bericht und Antrag des Stadtrates</w:t>
      </w:r>
    </w:p>
    <w:p w:rsidR="00A82500" w:rsidRPr="007A047D" w:rsidRDefault="00A82500">
      <w:pPr>
        <w:jc w:val="center"/>
        <w:rPr>
          <w:rFonts w:ascii="Arial" w:hAnsi="Arial" w:cs="Arial"/>
          <w:sz w:val="28"/>
          <w:szCs w:val="28"/>
        </w:rPr>
      </w:pPr>
    </w:p>
    <w:p w:rsidR="00A82500" w:rsidRPr="007A047D" w:rsidRDefault="00A82500">
      <w:pPr>
        <w:tabs>
          <w:tab w:val="left" w:pos="1560"/>
        </w:tabs>
        <w:jc w:val="center"/>
        <w:rPr>
          <w:rFonts w:ascii="Arial" w:hAnsi="Arial" w:cs="Arial"/>
          <w:sz w:val="28"/>
          <w:szCs w:val="28"/>
        </w:rPr>
      </w:pPr>
      <w:r w:rsidRPr="007A047D">
        <w:rPr>
          <w:rFonts w:ascii="Arial" w:hAnsi="Arial" w:cs="Arial"/>
          <w:sz w:val="28"/>
          <w:szCs w:val="28"/>
        </w:rPr>
        <w:t>an das Gemeindeparlament</w:t>
      </w:r>
    </w:p>
    <w:p w:rsidR="00A82500" w:rsidRPr="007A047D" w:rsidRDefault="00A82500">
      <w:pPr>
        <w:jc w:val="center"/>
        <w:rPr>
          <w:rFonts w:ascii="Arial" w:hAnsi="Arial" w:cs="Arial"/>
          <w:sz w:val="28"/>
          <w:szCs w:val="28"/>
        </w:rPr>
      </w:pPr>
    </w:p>
    <w:p w:rsidR="00A82500" w:rsidRDefault="00A82500">
      <w:pPr>
        <w:rPr>
          <w:rFonts w:ascii="Arial" w:hAnsi="Arial" w:cs="Arial"/>
          <w:sz w:val="22"/>
        </w:rPr>
      </w:pPr>
      <w:r>
        <w:rPr>
          <w:rFonts w:ascii="Arial" w:hAnsi="Arial" w:cs="Arial"/>
          <w:sz w:val="22"/>
        </w:rPr>
        <w:t>___________________________________________________________________</w:t>
      </w:r>
    </w:p>
    <w:p w:rsidR="00A82500" w:rsidRDefault="00A82500">
      <w:pPr>
        <w:rPr>
          <w:rFonts w:ascii="Arial" w:hAnsi="Arial" w:cs="Arial"/>
          <w:sz w:val="22"/>
          <w:u w:val="single"/>
        </w:rPr>
      </w:pPr>
    </w:p>
    <w:p w:rsidR="00A82500" w:rsidRDefault="00A82500">
      <w:pPr>
        <w:rPr>
          <w:rFonts w:ascii="Arial" w:hAnsi="Arial" w:cs="Arial"/>
          <w:sz w:val="22"/>
          <w:u w:val="single"/>
        </w:rPr>
      </w:pPr>
    </w:p>
    <w:p w:rsidR="00A82500" w:rsidRDefault="00D4767C">
      <w:pPr>
        <w:rPr>
          <w:rFonts w:ascii="Arial" w:hAnsi="Arial" w:cs="Arial"/>
          <w:b/>
          <w:sz w:val="22"/>
          <w:u w:val="single"/>
        </w:rPr>
      </w:pPr>
      <w:r>
        <w:rPr>
          <w:rFonts w:ascii="Arial" w:hAnsi="Arial" w:cs="Arial"/>
          <w:b/>
          <w:sz w:val="22"/>
          <w:u w:val="single"/>
        </w:rPr>
        <w:t>Finanz- und Investitionsplan</w:t>
      </w:r>
      <w:r w:rsidR="00A82500">
        <w:rPr>
          <w:rFonts w:ascii="Arial" w:hAnsi="Arial" w:cs="Arial"/>
          <w:b/>
          <w:sz w:val="22"/>
          <w:u w:val="single"/>
        </w:rPr>
        <w:t xml:space="preserve"> </w:t>
      </w:r>
      <w:r w:rsidR="004021AA">
        <w:rPr>
          <w:rFonts w:ascii="Arial" w:hAnsi="Arial" w:cs="Arial"/>
          <w:b/>
          <w:sz w:val="22"/>
          <w:u w:val="single"/>
        </w:rPr>
        <w:t>20</w:t>
      </w:r>
      <w:r w:rsidR="00F945A6">
        <w:rPr>
          <w:rFonts w:ascii="Arial" w:hAnsi="Arial" w:cs="Arial"/>
          <w:b/>
          <w:sz w:val="22"/>
          <w:u w:val="single"/>
        </w:rPr>
        <w:t>14</w:t>
      </w:r>
      <w:r w:rsidR="004021AA">
        <w:rPr>
          <w:rFonts w:ascii="Arial" w:hAnsi="Arial" w:cs="Arial"/>
          <w:b/>
          <w:sz w:val="22"/>
          <w:u w:val="single"/>
        </w:rPr>
        <w:t xml:space="preserve"> - 20</w:t>
      </w:r>
      <w:r w:rsidR="00F945A6">
        <w:rPr>
          <w:rFonts w:ascii="Arial" w:hAnsi="Arial" w:cs="Arial"/>
          <w:b/>
          <w:sz w:val="22"/>
          <w:u w:val="single"/>
        </w:rPr>
        <w:t>20</w:t>
      </w:r>
    </w:p>
    <w:p w:rsidR="00A82500" w:rsidRDefault="00A82500">
      <w:pPr>
        <w:rPr>
          <w:rFonts w:ascii="Arial" w:hAnsi="Arial" w:cs="Arial"/>
          <w:sz w:val="22"/>
          <w:u w:val="single"/>
        </w:rPr>
      </w:pPr>
    </w:p>
    <w:p w:rsidR="00F945A6" w:rsidRDefault="00F945A6" w:rsidP="000C214A">
      <w:pPr>
        <w:jc w:val="both"/>
        <w:rPr>
          <w:rFonts w:ascii="Arial" w:hAnsi="Arial" w:cs="Arial"/>
          <w:b/>
          <w:bCs/>
          <w:sz w:val="22"/>
        </w:rPr>
      </w:pPr>
      <w:r>
        <w:rPr>
          <w:rFonts w:ascii="Arial" w:hAnsi="Arial" w:cs="Arial"/>
          <w:b/>
          <w:bCs/>
          <w:sz w:val="22"/>
        </w:rPr>
        <w:t xml:space="preserve">Aufgrund der massiven Steuerausfälle bei den juristischen Person hat der Stadtrat </w:t>
      </w:r>
      <w:r w:rsidR="006D4D59">
        <w:rPr>
          <w:rFonts w:ascii="Arial" w:hAnsi="Arial" w:cs="Arial"/>
          <w:b/>
          <w:bCs/>
          <w:sz w:val="22"/>
        </w:rPr>
        <w:t>g</w:t>
      </w:r>
      <w:r w:rsidR="006D4D59">
        <w:rPr>
          <w:rFonts w:ascii="Arial" w:hAnsi="Arial" w:cs="Arial"/>
          <w:b/>
          <w:bCs/>
          <w:sz w:val="22"/>
        </w:rPr>
        <w:t>e</w:t>
      </w:r>
      <w:r w:rsidR="006D4D59">
        <w:rPr>
          <w:rFonts w:ascii="Arial" w:hAnsi="Arial" w:cs="Arial"/>
          <w:b/>
          <w:bCs/>
          <w:sz w:val="22"/>
        </w:rPr>
        <w:t xml:space="preserve">genüber dem letzten Finanz- und Investitionsplan </w:t>
      </w:r>
      <w:r>
        <w:rPr>
          <w:rFonts w:ascii="Arial" w:hAnsi="Arial" w:cs="Arial"/>
          <w:b/>
          <w:bCs/>
          <w:sz w:val="22"/>
        </w:rPr>
        <w:t xml:space="preserve">die Nettoinvestitionen </w:t>
      </w:r>
      <w:r w:rsidR="00044A27">
        <w:rPr>
          <w:rFonts w:ascii="Arial" w:hAnsi="Arial" w:cs="Arial"/>
          <w:b/>
          <w:bCs/>
          <w:sz w:val="22"/>
        </w:rPr>
        <w:t>erheblich</w:t>
      </w:r>
      <w:r>
        <w:rPr>
          <w:rFonts w:ascii="Arial" w:hAnsi="Arial" w:cs="Arial"/>
          <w:b/>
          <w:bCs/>
          <w:sz w:val="22"/>
        </w:rPr>
        <w:t xml:space="preserve"> red</w:t>
      </w:r>
      <w:r>
        <w:rPr>
          <w:rFonts w:ascii="Arial" w:hAnsi="Arial" w:cs="Arial"/>
          <w:b/>
          <w:bCs/>
          <w:sz w:val="22"/>
        </w:rPr>
        <w:t>u</w:t>
      </w:r>
      <w:r>
        <w:rPr>
          <w:rFonts w:ascii="Arial" w:hAnsi="Arial" w:cs="Arial"/>
          <w:b/>
          <w:bCs/>
          <w:sz w:val="22"/>
        </w:rPr>
        <w:t>ziert. Wichtig ist dem Stadtrat</w:t>
      </w:r>
      <w:r w:rsidR="005713FF">
        <w:rPr>
          <w:rFonts w:ascii="Arial" w:hAnsi="Arial" w:cs="Arial"/>
          <w:b/>
          <w:bCs/>
          <w:sz w:val="22"/>
        </w:rPr>
        <w:t>,</w:t>
      </w:r>
      <w:r>
        <w:rPr>
          <w:rFonts w:ascii="Arial" w:hAnsi="Arial" w:cs="Arial"/>
          <w:b/>
          <w:bCs/>
          <w:sz w:val="22"/>
        </w:rPr>
        <w:t xml:space="preserve"> dass trotz der im Moment schwierigen Finanzsituation der Stadt Olten Investitionen</w:t>
      </w:r>
      <w:r w:rsidR="00712F97">
        <w:rPr>
          <w:rFonts w:ascii="Arial" w:hAnsi="Arial" w:cs="Arial"/>
          <w:b/>
          <w:bCs/>
          <w:sz w:val="22"/>
        </w:rPr>
        <w:t>,</w:t>
      </w:r>
      <w:r>
        <w:rPr>
          <w:rFonts w:ascii="Arial" w:hAnsi="Arial" w:cs="Arial"/>
          <w:b/>
          <w:bCs/>
          <w:sz w:val="22"/>
        </w:rPr>
        <w:t xml:space="preserve"> welche eine wirtschaftliche Weiterentwicklung der Stadt b</w:t>
      </w:r>
      <w:r>
        <w:rPr>
          <w:rFonts w:ascii="Arial" w:hAnsi="Arial" w:cs="Arial"/>
          <w:b/>
          <w:bCs/>
          <w:sz w:val="22"/>
        </w:rPr>
        <w:t>e</w:t>
      </w:r>
      <w:r>
        <w:rPr>
          <w:rFonts w:ascii="Arial" w:hAnsi="Arial" w:cs="Arial"/>
          <w:b/>
          <w:bCs/>
          <w:sz w:val="22"/>
        </w:rPr>
        <w:t>günstigen</w:t>
      </w:r>
      <w:r w:rsidR="005713FF">
        <w:rPr>
          <w:rFonts w:ascii="Arial" w:hAnsi="Arial" w:cs="Arial"/>
          <w:b/>
          <w:bCs/>
          <w:sz w:val="22"/>
        </w:rPr>
        <w:t>,</w:t>
      </w:r>
      <w:r>
        <w:rPr>
          <w:rFonts w:ascii="Arial" w:hAnsi="Arial" w:cs="Arial"/>
          <w:b/>
          <w:bCs/>
          <w:sz w:val="22"/>
        </w:rPr>
        <w:t xml:space="preserve"> nicht vollkommen zum Stillstand kommen.</w:t>
      </w:r>
      <w:r w:rsidR="006D4D59">
        <w:rPr>
          <w:rFonts w:ascii="Arial" w:hAnsi="Arial" w:cs="Arial"/>
          <w:b/>
          <w:bCs/>
          <w:sz w:val="22"/>
        </w:rPr>
        <w:t xml:space="preserve"> Zudem sollen Investitionen in den Werterhalt für eine funktionierende Infrastruktur sorgen.</w:t>
      </w:r>
      <w:r>
        <w:rPr>
          <w:rFonts w:ascii="Arial" w:hAnsi="Arial" w:cs="Arial"/>
          <w:b/>
          <w:bCs/>
          <w:sz w:val="22"/>
        </w:rPr>
        <w:t xml:space="preserve"> </w:t>
      </w:r>
      <w:r w:rsidR="00756C5D" w:rsidRPr="00C0329D">
        <w:rPr>
          <w:rFonts w:ascii="Arial" w:hAnsi="Arial" w:cs="Arial"/>
          <w:b/>
          <w:bCs/>
          <w:sz w:val="22"/>
        </w:rPr>
        <w:t xml:space="preserve">Für die Planperiode sind </w:t>
      </w:r>
      <w:r w:rsidR="00CA1FA1">
        <w:rPr>
          <w:rFonts w:ascii="Arial" w:hAnsi="Arial" w:cs="Arial"/>
          <w:b/>
          <w:bCs/>
          <w:sz w:val="22"/>
        </w:rPr>
        <w:t>Nett</w:t>
      </w:r>
      <w:r w:rsidR="00CA1FA1">
        <w:rPr>
          <w:rFonts w:ascii="Arial" w:hAnsi="Arial" w:cs="Arial"/>
          <w:b/>
          <w:bCs/>
          <w:sz w:val="22"/>
        </w:rPr>
        <w:t>o</w:t>
      </w:r>
      <w:r w:rsidR="00CA1FA1">
        <w:rPr>
          <w:rFonts w:ascii="Arial" w:hAnsi="Arial" w:cs="Arial"/>
          <w:b/>
          <w:bCs/>
          <w:sz w:val="22"/>
        </w:rPr>
        <w:t>i</w:t>
      </w:r>
      <w:r w:rsidR="00756C5D" w:rsidRPr="00C0329D">
        <w:rPr>
          <w:rFonts w:ascii="Arial" w:hAnsi="Arial" w:cs="Arial"/>
          <w:b/>
          <w:bCs/>
          <w:sz w:val="22"/>
        </w:rPr>
        <w:t xml:space="preserve">nvestitionen in der Höhe von </w:t>
      </w:r>
      <w:r w:rsidR="00777B62">
        <w:rPr>
          <w:rFonts w:ascii="Arial" w:hAnsi="Arial" w:cs="Arial"/>
          <w:b/>
          <w:bCs/>
          <w:sz w:val="22"/>
        </w:rPr>
        <w:t>98.25</w:t>
      </w:r>
      <w:r w:rsidR="00756C5D" w:rsidRPr="00C0329D">
        <w:rPr>
          <w:rFonts w:ascii="Arial" w:hAnsi="Arial" w:cs="Arial"/>
          <w:b/>
          <w:bCs/>
          <w:sz w:val="22"/>
        </w:rPr>
        <w:t xml:space="preserve"> Millionen Franken (Vorjahresplanung </w:t>
      </w:r>
      <w:r>
        <w:rPr>
          <w:rFonts w:ascii="Arial" w:hAnsi="Arial" w:cs="Arial"/>
          <w:b/>
          <w:bCs/>
          <w:sz w:val="22"/>
        </w:rPr>
        <w:t>158.7</w:t>
      </w:r>
      <w:r w:rsidR="00756C5D" w:rsidRPr="00C0329D">
        <w:rPr>
          <w:rFonts w:ascii="Arial" w:hAnsi="Arial" w:cs="Arial"/>
          <w:b/>
          <w:bCs/>
          <w:sz w:val="22"/>
        </w:rPr>
        <w:t xml:space="preserve"> </w:t>
      </w:r>
      <w:r w:rsidR="002042E8" w:rsidRPr="00C0329D">
        <w:rPr>
          <w:rFonts w:ascii="Arial" w:hAnsi="Arial" w:cs="Arial"/>
          <w:b/>
          <w:bCs/>
          <w:sz w:val="22"/>
        </w:rPr>
        <w:t>Millionen</w:t>
      </w:r>
      <w:r w:rsidR="00756C5D" w:rsidRPr="00C0329D">
        <w:rPr>
          <w:rFonts w:ascii="Arial" w:hAnsi="Arial" w:cs="Arial"/>
          <w:b/>
          <w:bCs/>
          <w:sz w:val="22"/>
        </w:rPr>
        <w:t xml:space="preserve"> Franken</w:t>
      </w:r>
      <w:r w:rsidR="00E816A8" w:rsidRPr="00C0329D">
        <w:rPr>
          <w:rFonts w:ascii="Arial" w:hAnsi="Arial" w:cs="Arial"/>
          <w:b/>
          <w:bCs/>
          <w:sz w:val="22"/>
        </w:rPr>
        <w:t>)</w:t>
      </w:r>
      <w:r w:rsidR="00756C5D" w:rsidRPr="00C0329D">
        <w:rPr>
          <w:rFonts w:ascii="Arial" w:hAnsi="Arial" w:cs="Arial"/>
          <w:b/>
          <w:bCs/>
          <w:sz w:val="22"/>
        </w:rPr>
        <w:t xml:space="preserve"> vorgesehen.</w:t>
      </w:r>
      <w:r w:rsidR="00CA1FA1">
        <w:rPr>
          <w:rFonts w:ascii="Arial" w:hAnsi="Arial" w:cs="Arial"/>
          <w:b/>
          <w:bCs/>
          <w:sz w:val="22"/>
        </w:rPr>
        <w:t xml:space="preserve"> </w:t>
      </w:r>
      <w:r>
        <w:rPr>
          <w:rFonts w:ascii="Arial" w:hAnsi="Arial" w:cs="Arial"/>
          <w:b/>
          <w:bCs/>
          <w:sz w:val="22"/>
        </w:rPr>
        <w:t>Die ganze Investitionsplanung hat an verschiedenen Sitzungen des Stadtrates eine Priorisierung resp. Poste</w:t>
      </w:r>
      <w:r w:rsidR="004A74B0">
        <w:rPr>
          <w:rFonts w:ascii="Arial" w:hAnsi="Arial" w:cs="Arial"/>
          <w:b/>
          <w:bCs/>
          <w:sz w:val="22"/>
        </w:rPr>
        <w:t>ori</w:t>
      </w:r>
      <w:r>
        <w:rPr>
          <w:rFonts w:ascii="Arial" w:hAnsi="Arial" w:cs="Arial"/>
          <w:b/>
          <w:bCs/>
          <w:sz w:val="22"/>
        </w:rPr>
        <w:t>sierung</w:t>
      </w:r>
      <w:r w:rsidR="004A74B0">
        <w:rPr>
          <w:rFonts w:ascii="Arial" w:hAnsi="Arial" w:cs="Arial"/>
          <w:b/>
          <w:bCs/>
          <w:sz w:val="22"/>
        </w:rPr>
        <w:t xml:space="preserve"> (Rückstellung)</w:t>
      </w:r>
      <w:r>
        <w:rPr>
          <w:rFonts w:ascii="Arial" w:hAnsi="Arial" w:cs="Arial"/>
          <w:b/>
          <w:bCs/>
          <w:sz w:val="22"/>
        </w:rPr>
        <w:t xml:space="preserve"> erfahren. Ziel ist es unter anderem</w:t>
      </w:r>
      <w:r w:rsidR="005713FF">
        <w:rPr>
          <w:rFonts w:ascii="Arial" w:hAnsi="Arial" w:cs="Arial"/>
          <w:b/>
          <w:bCs/>
          <w:sz w:val="22"/>
        </w:rPr>
        <w:t>,</w:t>
      </w:r>
      <w:r>
        <w:rPr>
          <w:rFonts w:ascii="Arial" w:hAnsi="Arial" w:cs="Arial"/>
          <w:b/>
          <w:bCs/>
          <w:sz w:val="22"/>
        </w:rPr>
        <w:t xml:space="preserve"> die Investitionen sowie die Ausgaben in der laufenden Rechnung so zu gestalten</w:t>
      </w:r>
      <w:r w:rsidR="005713FF">
        <w:rPr>
          <w:rFonts w:ascii="Arial" w:hAnsi="Arial" w:cs="Arial"/>
          <w:b/>
          <w:bCs/>
          <w:sz w:val="22"/>
        </w:rPr>
        <w:t>,</w:t>
      </w:r>
      <w:r>
        <w:rPr>
          <w:rFonts w:ascii="Arial" w:hAnsi="Arial" w:cs="Arial"/>
          <w:b/>
          <w:bCs/>
          <w:sz w:val="22"/>
        </w:rPr>
        <w:t xml:space="preserve"> dass eine kommende Steuererhöhung optimal auf die Bedürfniss</w:t>
      </w:r>
      <w:r w:rsidR="005713FF">
        <w:rPr>
          <w:rFonts w:ascii="Arial" w:hAnsi="Arial" w:cs="Arial"/>
          <w:b/>
          <w:bCs/>
          <w:sz w:val="22"/>
        </w:rPr>
        <w:t>e</w:t>
      </w:r>
      <w:r>
        <w:rPr>
          <w:rFonts w:ascii="Arial" w:hAnsi="Arial" w:cs="Arial"/>
          <w:b/>
          <w:bCs/>
          <w:sz w:val="22"/>
        </w:rPr>
        <w:t xml:space="preserve"> der Stadt abgestimmt ist, ohne dabei die Steuerkonkur</w:t>
      </w:r>
      <w:r w:rsidR="00F21458">
        <w:rPr>
          <w:rFonts w:ascii="Arial" w:hAnsi="Arial" w:cs="Arial"/>
          <w:b/>
          <w:bCs/>
          <w:sz w:val="22"/>
        </w:rPr>
        <w:t>r</w:t>
      </w:r>
      <w:r>
        <w:rPr>
          <w:rFonts w:ascii="Arial" w:hAnsi="Arial" w:cs="Arial"/>
          <w:b/>
          <w:bCs/>
          <w:sz w:val="22"/>
        </w:rPr>
        <w:t>enzsituation gegenüber angrenzenden G</w:t>
      </w:r>
      <w:r>
        <w:rPr>
          <w:rFonts w:ascii="Arial" w:hAnsi="Arial" w:cs="Arial"/>
          <w:b/>
          <w:bCs/>
          <w:sz w:val="22"/>
        </w:rPr>
        <w:t>e</w:t>
      </w:r>
      <w:r>
        <w:rPr>
          <w:rFonts w:ascii="Arial" w:hAnsi="Arial" w:cs="Arial"/>
          <w:b/>
          <w:bCs/>
          <w:sz w:val="22"/>
        </w:rPr>
        <w:t>meinden</w:t>
      </w:r>
      <w:r w:rsidR="00F21458">
        <w:rPr>
          <w:rFonts w:ascii="Arial" w:hAnsi="Arial" w:cs="Arial"/>
          <w:b/>
          <w:bCs/>
          <w:sz w:val="22"/>
        </w:rPr>
        <w:t xml:space="preserve"> und Kantonen</w:t>
      </w:r>
      <w:r>
        <w:rPr>
          <w:rFonts w:ascii="Arial" w:hAnsi="Arial" w:cs="Arial"/>
          <w:b/>
          <w:bCs/>
          <w:sz w:val="22"/>
        </w:rPr>
        <w:t xml:space="preserve"> zu vernachlässigen. Ziel muss es auch weiterhin sein, eine ve</w:t>
      </w:r>
      <w:r>
        <w:rPr>
          <w:rFonts w:ascii="Arial" w:hAnsi="Arial" w:cs="Arial"/>
          <w:b/>
          <w:bCs/>
          <w:sz w:val="22"/>
        </w:rPr>
        <w:t>r</w:t>
      </w:r>
      <w:r>
        <w:rPr>
          <w:rFonts w:ascii="Arial" w:hAnsi="Arial" w:cs="Arial"/>
          <w:b/>
          <w:bCs/>
          <w:sz w:val="22"/>
        </w:rPr>
        <w:t xml:space="preserve">nünftige </w:t>
      </w:r>
      <w:r w:rsidR="00712F97">
        <w:rPr>
          <w:rFonts w:ascii="Arial" w:hAnsi="Arial" w:cs="Arial"/>
          <w:b/>
          <w:bCs/>
          <w:sz w:val="22"/>
        </w:rPr>
        <w:t>Pro-Kopf-</w:t>
      </w:r>
      <w:r>
        <w:rPr>
          <w:rFonts w:ascii="Arial" w:hAnsi="Arial" w:cs="Arial"/>
          <w:b/>
          <w:bCs/>
          <w:sz w:val="22"/>
        </w:rPr>
        <w:t>Verschuld</w:t>
      </w:r>
      <w:r w:rsidR="00F21458">
        <w:rPr>
          <w:rFonts w:ascii="Arial" w:hAnsi="Arial" w:cs="Arial"/>
          <w:b/>
          <w:bCs/>
          <w:sz w:val="22"/>
        </w:rPr>
        <w:t>ung sowie</w:t>
      </w:r>
      <w:r>
        <w:rPr>
          <w:rFonts w:ascii="Arial" w:hAnsi="Arial" w:cs="Arial"/>
          <w:b/>
          <w:bCs/>
          <w:sz w:val="22"/>
        </w:rPr>
        <w:t xml:space="preserve"> eine sinnvolle </w:t>
      </w:r>
      <w:r w:rsidR="00712F97">
        <w:rPr>
          <w:rFonts w:ascii="Arial" w:hAnsi="Arial" w:cs="Arial"/>
          <w:b/>
          <w:bCs/>
          <w:sz w:val="22"/>
        </w:rPr>
        <w:t>Pro-Kopf-</w:t>
      </w:r>
      <w:r>
        <w:rPr>
          <w:rFonts w:ascii="Arial" w:hAnsi="Arial" w:cs="Arial"/>
          <w:b/>
          <w:bCs/>
          <w:sz w:val="22"/>
        </w:rPr>
        <w:t>Investition zu entwickeln, ohne dass die Stadt Olten in eine Unterbilanz fällt.</w:t>
      </w:r>
    </w:p>
    <w:p w:rsidR="00F8685D" w:rsidRDefault="00F945A6" w:rsidP="000C214A">
      <w:pPr>
        <w:jc w:val="both"/>
        <w:rPr>
          <w:rFonts w:ascii="Arial" w:hAnsi="Arial" w:cs="Arial"/>
          <w:b/>
          <w:bCs/>
          <w:sz w:val="22"/>
        </w:rPr>
      </w:pPr>
      <w:r>
        <w:rPr>
          <w:rFonts w:ascii="Arial" w:hAnsi="Arial" w:cs="Arial"/>
          <w:b/>
          <w:bCs/>
          <w:sz w:val="22"/>
        </w:rPr>
        <w:t xml:space="preserve"> </w:t>
      </w:r>
    </w:p>
    <w:p w:rsidR="00A82500" w:rsidRPr="00C0329D" w:rsidRDefault="009A616E" w:rsidP="000C214A">
      <w:pPr>
        <w:jc w:val="both"/>
        <w:rPr>
          <w:rFonts w:ascii="Arial" w:hAnsi="Arial" w:cs="Arial"/>
          <w:b/>
          <w:bCs/>
          <w:sz w:val="22"/>
        </w:rPr>
      </w:pPr>
      <w:r>
        <w:rPr>
          <w:rFonts w:ascii="Arial" w:hAnsi="Arial" w:cs="Arial"/>
          <w:b/>
          <w:bCs/>
          <w:sz w:val="22"/>
        </w:rPr>
        <w:t>Generell bleibt</w:t>
      </w:r>
      <w:r w:rsidR="00756C5D" w:rsidRPr="00C0329D">
        <w:rPr>
          <w:rFonts w:ascii="Arial" w:hAnsi="Arial" w:cs="Arial"/>
          <w:b/>
          <w:bCs/>
          <w:sz w:val="22"/>
        </w:rPr>
        <w:t xml:space="preserve"> </w:t>
      </w:r>
      <w:r w:rsidR="00227037">
        <w:rPr>
          <w:rFonts w:ascii="Arial" w:hAnsi="Arial" w:cs="Arial"/>
          <w:b/>
          <w:bCs/>
          <w:sz w:val="22"/>
        </w:rPr>
        <w:t xml:space="preserve">die </w:t>
      </w:r>
      <w:r w:rsidR="002042E8" w:rsidRPr="00C0329D">
        <w:rPr>
          <w:rFonts w:ascii="Arial" w:hAnsi="Arial" w:cs="Arial"/>
          <w:b/>
          <w:bCs/>
          <w:sz w:val="22"/>
        </w:rPr>
        <w:t>künftige</w:t>
      </w:r>
      <w:r w:rsidR="00756C5D" w:rsidRPr="00C0329D">
        <w:rPr>
          <w:rFonts w:ascii="Arial" w:hAnsi="Arial" w:cs="Arial"/>
          <w:b/>
          <w:bCs/>
          <w:sz w:val="22"/>
        </w:rPr>
        <w:t xml:space="preserve"> Finanzla</w:t>
      </w:r>
      <w:r w:rsidR="00CA1FA1">
        <w:rPr>
          <w:rFonts w:ascii="Arial" w:hAnsi="Arial" w:cs="Arial"/>
          <w:b/>
          <w:bCs/>
          <w:sz w:val="22"/>
        </w:rPr>
        <w:t>ge</w:t>
      </w:r>
      <w:r>
        <w:rPr>
          <w:rFonts w:ascii="Arial" w:hAnsi="Arial" w:cs="Arial"/>
          <w:b/>
          <w:bCs/>
          <w:sz w:val="22"/>
        </w:rPr>
        <w:t>,</w:t>
      </w:r>
      <w:r w:rsidR="00CA1FA1">
        <w:rPr>
          <w:rFonts w:ascii="Arial" w:hAnsi="Arial" w:cs="Arial"/>
          <w:b/>
          <w:bCs/>
          <w:sz w:val="22"/>
        </w:rPr>
        <w:t xml:space="preserve"> auch</w:t>
      </w:r>
      <w:r>
        <w:rPr>
          <w:rFonts w:ascii="Arial" w:hAnsi="Arial" w:cs="Arial"/>
          <w:b/>
          <w:bCs/>
          <w:sz w:val="22"/>
        </w:rPr>
        <w:t xml:space="preserve"> beeinflusst</w:t>
      </w:r>
      <w:r w:rsidR="00CA1FA1">
        <w:rPr>
          <w:rFonts w:ascii="Arial" w:hAnsi="Arial" w:cs="Arial"/>
          <w:b/>
          <w:bCs/>
          <w:sz w:val="22"/>
        </w:rPr>
        <w:t xml:space="preserve"> durch die </w:t>
      </w:r>
      <w:r w:rsidR="00F8685D">
        <w:rPr>
          <w:rFonts w:ascii="Arial" w:hAnsi="Arial" w:cs="Arial"/>
          <w:b/>
          <w:bCs/>
          <w:sz w:val="22"/>
        </w:rPr>
        <w:t>Unsicherheit beim z</w:t>
      </w:r>
      <w:r w:rsidR="00F8685D">
        <w:rPr>
          <w:rFonts w:ascii="Arial" w:hAnsi="Arial" w:cs="Arial"/>
          <w:b/>
          <w:bCs/>
          <w:sz w:val="22"/>
        </w:rPr>
        <w:t>u</w:t>
      </w:r>
      <w:r w:rsidR="00F8685D">
        <w:rPr>
          <w:rFonts w:ascii="Arial" w:hAnsi="Arial" w:cs="Arial"/>
          <w:b/>
          <w:bCs/>
          <w:sz w:val="22"/>
        </w:rPr>
        <w:t xml:space="preserve">künftigen Steuerertrag </w:t>
      </w:r>
      <w:r w:rsidR="00F21458">
        <w:rPr>
          <w:rFonts w:ascii="Arial" w:hAnsi="Arial" w:cs="Arial"/>
          <w:b/>
          <w:bCs/>
          <w:sz w:val="22"/>
        </w:rPr>
        <w:t>j</w:t>
      </w:r>
      <w:r w:rsidR="00F8685D">
        <w:rPr>
          <w:rFonts w:ascii="Arial" w:hAnsi="Arial" w:cs="Arial"/>
          <w:b/>
          <w:bCs/>
          <w:sz w:val="22"/>
        </w:rPr>
        <w:t>uristische</w:t>
      </w:r>
      <w:r w:rsidR="00F21458">
        <w:rPr>
          <w:rFonts w:ascii="Arial" w:hAnsi="Arial" w:cs="Arial"/>
          <w:b/>
          <w:bCs/>
          <w:sz w:val="22"/>
        </w:rPr>
        <w:t>r</w:t>
      </w:r>
      <w:r w:rsidR="00F8685D">
        <w:rPr>
          <w:rFonts w:ascii="Arial" w:hAnsi="Arial" w:cs="Arial"/>
          <w:b/>
          <w:bCs/>
          <w:sz w:val="22"/>
        </w:rPr>
        <w:t xml:space="preserve"> Personen</w:t>
      </w:r>
      <w:r>
        <w:rPr>
          <w:rFonts w:ascii="Arial" w:hAnsi="Arial" w:cs="Arial"/>
          <w:b/>
          <w:bCs/>
          <w:sz w:val="22"/>
        </w:rPr>
        <w:t>,</w:t>
      </w:r>
      <w:r w:rsidR="00756C5D" w:rsidRPr="00C0329D">
        <w:rPr>
          <w:rFonts w:ascii="Arial" w:hAnsi="Arial" w:cs="Arial"/>
          <w:b/>
          <w:bCs/>
          <w:sz w:val="22"/>
        </w:rPr>
        <w:t xml:space="preserve"> angespannt und </w:t>
      </w:r>
      <w:r w:rsidR="00D25FC1">
        <w:rPr>
          <w:rFonts w:ascii="Arial" w:hAnsi="Arial" w:cs="Arial"/>
          <w:b/>
          <w:bCs/>
          <w:sz w:val="22"/>
        </w:rPr>
        <w:t xml:space="preserve">das Investitionsvolumen </w:t>
      </w:r>
      <w:r w:rsidR="00F945A6">
        <w:rPr>
          <w:rFonts w:ascii="Arial" w:hAnsi="Arial" w:cs="Arial"/>
          <w:b/>
          <w:bCs/>
          <w:sz w:val="22"/>
        </w:rPr>
        <w:t xml:space="preserve">muss sich </w:t>
      </w:r>
      <w:r w:rsidR="00694C4F">
        <w:rPr>
          <w:rFonts w:ascii="Arial" w:hAnsi="Arial" w:cs="Arial"/>
          <w:b/>
          <w:bCs/>
          <w:sz w:val="22"/>
        </w:rPr>
        <w:t>situativ den</w:t>
      </w:r>
      <w:r w:rsidR="00F945A6">
        <w:rPr>
          <w:rFonts w:ascii="Arial" w:hAnsi="Arial" w:cs="Arial"/>
          <w:b/>
          <w:bCs/>
          <w:sz w:val="22"/>
        </w:rPr>
        <w:t xml:space="preserve"> Möglichkeiten anpassen.</w:t>
      </w:r>
      <w:r w:rsidR="00756C5D" w:rsidRPr="00C0329D">
        <w:rPr>
          <w:rFonts w:ascii="Arial" w:hAnsi="Arial" w:cs="Arial"/>
          <w:b/>
          <w:bCs/>
          <w:sz w:val="22"/>
        </w:rPr>
        <w:t xml:space="preserve"> </w:t>
      </w:r>
      <w:r w:rsidR="006D4D59">
        <w:rPr>
          <w:rFonts w:ascii="Arial" w:hAnsi="Arial" w:cs="Arial"/>
          <w:b/>
          <w:bCs/>
          <w:sz w:val="22"/>
        </w:rPr>
        <w:t>Zudem muss das vom Stadtrat eingele</w:t>
      </w:r>
      <w:r w:rsidR="006D4D59">
        <w:rPr>
          <w:rFonts w:ascii="Arial" w:hAnsi="Arial" w:cs="Arial"/>
          <w:b/>
          <w:bCs/>
          <w:sz w:val="22"/>
        </w:rPr>
        <w:t>i</w:t>
      </w:r>
      <w:r w:rsidR="006D4D59">
        <w:rPr>
          <w:rFonts w:ascii="Arial" w:hAnsi="Arial" w:cs="Arial"/>
          <w:b/>
          <w:bCs/>
          <w:sz w:val="22"/>
        </w:rPr>
        <w:t>tete Entlastungspaket konsequent weiterverfolgt</w:t>
      </w:r>
      <w:r w:rsidR="00F21458">
        <w:rPr>
          <w:rFonts w:ascii="Arial" w:hAnsi="Arial" w:cs="Arial"/>
          <w:b/>
          <w:bCs/>
          <w:sz w:val="22"/>
        </w:rPr>
        <w:t xml:space="preserve"> werden</w:t>
      </w:r>
      <w:r w:rsidR="006D4D59">
        <w:rPr>
          <w:rFonts w:ascii="Arial" w:hAnsi="Arial" w:cs="Arial"/>
          <w:b/>
          <w:bCs/>
          <w:sz w:val="22"/>
        </w:rPr>
        <w:t>. Im Weiteren muss eine Rüc</w:t>
      </w:r>
      <w:r w:rsidR="006D4D59">
        <w:rPr>
          <w:rFonts w:ascii="Arial" w:hAnsi="Arial" w:cs="Arial"/>
          <w:b/>
          <w:bCs/>
          <w:sz w:val="22"/>
        </w:rPr>
        <w:t>k</w:t>
      </w:r>
      <w:r w:rsidR="006D4D59">
        <w:rPr>
          <w:rFonts w:ascii="Arial" w:hAnsi="Arial" w:cs="Arial"/>
          <w:b/>
          <w:bCs/>
          <w:sz w:val="22"/>
        </w:rPr>
        <w:t>besinnung auf die Kernaufgaben der Stadt erfolgen.</w:t>
      </w:r>
    </w:p>
    <w:p w:rsidR="00CA1FA1" w:rsidRDefault="00CA1FA1">
      <w:pPr>
        <w:rPr>
          <w:rFonts w:ascii="Arial" w:hAnsi="Arial" w:cs="Arial"/>
          <w:b/>
          <w:bCs/>
          <w:sz w:val="22"/>
        </w:rPr>
      </w:pPr>
    </w:p>
    <w:p w:rsidR="00D25FC1" w:rsidRDefault="00D25FC1">
      <w:pPr>
        <w:rPr>
          <w:rFonts w:ascii="Arial" w:hAnsi="Arial" w:cs="Arial"/>
          <w:b/>
          <w:bCs/>
          <w:sz w:val="22"/>
        </w:rPr>
      </w:pPr>
    </w:p>
    <w:p w:rsidR="00A82500" w:rsidRDefault="00BA621A">
      <w:pPr>
        <w:rPr>
          <w:rFonts w:ascii="Arial" w:hAnsi="Arial" w:cs="Arial"/>
          <w:sz w:val="22"/>
        </w:rPr>
      </w:pPr>
      <w:r>
        <w:rPr>
          <w:rFonts w:ascii="Arial" w:hAnsi="Arial" w:cs="Arial"/>
          <w:sz w:val="22"/>
        </w:rPr>
        <w:t>Sehr geehrte</w:t>
      </w:r>
      <w:r w:rsidR="00B97D92">
        <w:rPr>
          <w:rFonts w:ascii="Arial" w:hAnsi="Arial" w:cs="Arial"/>
          <w:sz w:val="22"/>
        </w:rPr>
        <w:t>r Herr Präsident</w:t>
      </w:r>
    </w:p>
    <w:p w:rsidR="00A82500" w:rsidRDefault="00A82500">
      <w:pPr>
        <w:rPr>
          <w:rFonts w:ascii="Arial" w:hAnsi="Arial" w:cs="Arial"/>
          <w:sz w:val="22"/>
        </w:rPr>
      </w:pPr>
      <w:r>
        <w:rPr>
          <w:rFonts w:ascii="Arial" w:hAnsi="Arial" w:cs="Arial"/>
          <w:sz w:val="22"/>
        </w:rPr>
        <w:t xml:space="preserve">Sehr geehrte Damen und Herren </w:t>
      </w:r>
    </w:p>
    <w:p w:rsidR="00A82500" w:rsidRDefault="00A82500">
      <w:pPr>
        <w:rPr>
          <w:rFonts w:ascii="Arial" w:hAnsi="Arial" w:cs="Arial"/>
          <w:sz w:val="22"/>
        </w:rPr>
      </w:pPr>
    </w:p>
    <w:p w:rsidR="00A82500" w:rsidRDefault="00A82500">
      <w:pPr>
        <w:rPr>
          <w:rFonts w:ascii="Arial" w:hAnsi="Arial" w:cs="Arial"/>
          <w:sz w:val="22"/>
        </w:rPr>
      </w:pPr>
      <w:r>
        <w:rPr>
          <w:rFonts w:ascii="Arial" w:hAnsi="Arial" w:cs="Arial"/>
          <w:sz w:val="22"/>
          <w:lang w:val="de-CH"/>
        </w:rPr>
        <w:t xml:space="preserve">Der Stadtrat unterbreitet Ihnen den aktualisierten </w:t>
      </w:r>
      <w:r w:rsidR="00D4767C">
        <w:rPr>
          <w:rFonts w:ascii="Arial" w:hAnsi="Arial" w:cs="Arial"/>
          <w:sz w:val="22"/>
          <w:lang w:val="de-CH"/>
        </w:rPr>
        <w:t xml:space="preserve">Finanz- und </w:t>
      </w:r>
      <w:r w:rsidR="00307F18">
        <w:rPr>
          <w:rFonts w:ascii="Arial" w:hAnsi="Arial" w:cs="Arial"/>
          <w:sz w:val="22"/>
          <w:lang w:val="de-CH"/>
        </w:rPr>
        <w:t>Investitionsplan</w:t>
      </w:r>
      <w:r>
        <w:rPr>
          <w:rFonts w:ascii="Arial" w:hAnsi="Arial" w:cs="Arial"/>
          <w:sz w:val="22"/>
          <w:lang w:val="de-CH"/>
        </w:rPr>
        <w:t xml:space="preserve"> für die Planperi</w:t>
      </w:r>
      <w:r>
        <w:rPr>
          <w:rFonts w:ascii="Arial" w:hAnsi="Arial" w:cs="Arial"/>
          <w:sz w:val="22"/>
          <w:lang w:val="de-CH"/>
        </w:rPr>
        <w:t>o</w:t>
      </w:r>
      <w:r w:rsidR="00D4767C">
        <w:rPr>
          <w:rFonts w:ascii="Arial" w:hAnsi="Arial" w:cs="Arial"/>
          <w:sz w:val="22"/>
          <w:lang w:val="de-CH"/>
        </w:rPr>
        <w:t xml:space="preserve">de </w:t>
      </w:r>
      <w:r w:rsidR="004021AA">
        <w:rPr>
          <w:rFonts w:ascii="Arial" w:hAnsi="Arial" w:cs="Arial"/>
          <w:sz w:val="22"/>
          <w:lang w:val="de-CH"/>
        </w:rPr>
        <w:t>201</w:t>
      </w:r>
      <w:r w:rsidR="00F945A6">
        <w:rPr>
          <w:rFonts w:ascii="Arial" w:hAnsi="Arial" w:cs="Arial"/>
          <w:sz w:val="22"/>
          <w:lang w:val="de-CH"/>
        </w:rPr>
        <w:t>4</w:t>
      </w:r>
      <w:r w:rsidR="004021AA">
        <w:rPr>
          <w:rFonts w:ascii="Arial" w:hAnsi="Arial" w:cs="Arial"/>
          <w:sz w:val="22"/>
          <w:lang w:val="de-CH"/>
        </w:rPr>
        <w:t xml:space="preserve"> bis 20</w:t>
      </w:r>
      <w:r w:rsidR="00F945A6">
        <w:rPr>
          <w:rFonts w:ascii="Arial" w:hAnsi="Arial" w:cs="Arial"/>
          <w:sz w:val="22"/>
          <w:lang w:val="de-CH"/>
        </w:rPr>
        <w:t>20</w:t>
      </w:r>
      <w:r>
        <w:rPr>
          <w:rFonts w:ascii="Arial" w:hAnsi="Arial" w:cs="Arial"/>
          <w:sz w:val="22"/>
          <w:lang w:val="de-CH"/>
        </w:rPr>
        <w:t xml:space="preserve"> </w:t>
      </w:r>
      <w:r w:rsidR="00CA1FA1">
        <w:rPr>
          <w:rFonts w:ascii="Arial" w:hAnsi="Arial" w:cs="Arial"/>
          <w:sz w:val="22"/>
          <w:lang w:val="de-CH"/>
        </w:rPr>
        <w:t xml:space="preserve">zur </w:t>
      </w:r>
      <w:r>
        <w:rPr>
          <w:rFonts w:ascii="Arial" w:hAnsi="Arial" w:cs="Arial"/>
          <w:sz w:val="22"/>
          <w:lang w:val="de-CH"/>
        </w:rPr>
        <w:t>Kenntnisnahme.</w:t>
      </w:r>
    </w:p>
    <w:p w:rsidR="00A82500" w:rsidRDefault="00A82500">
      <w:pPr>
        <w:rPr>
          <w:rFonts w:ascii="Arial" w:hAnsi="Arial" w:cs="Arial"/>
          <w:sz w:val="22"/>
        </w:rPr>
      </w:pPr>
    </w:p>
    <w:p w:rsidR="00A82500" w:rsidRDefault="00A82500">
      <w:pPr>
        <w:rPr>
          <w:rFonts w:ascii="Arial" w:hAnsi="Arial" w:cs="Arial"/>
          <w:sz w:val="22"/>
        </w:rPr>
      </w:pPr>
    </w:p>
    <w:p w:rsidR="00A82500" w:rsidRDefault="00A82500">
      <w:pPr>
        <w:rPr>
          <w:rFonts w:ascii="Arial" w:hAnsi="Arial" w:cs="Arial"/>
          <w:b/>
          <w:bCs/>
          <w:sz w:val="22"/>
        </w:rPr>
      </w:pPr>
      <w:r>
        <w:rPr>
          <w:rFonts w:ascii="Arial" w:hAnsi="Arial" w:cs="Arial"/>
          <w:b/>
          <w:bCs/>
          <w:sz w:val="22"/>
        </w:rPr>
        <w:t xml:space="preserve">1.   Inhalt </w:t>
      </w:r>
      <w:r w:rsidR="00D4767C">
        <w:rPr>
          <w:rFonts w:ascii="Arial" w:hAnsi="Arial" w:cs="Arial"/>
          <w:b/>
          <w:bCs/>
          <w:sz w:val="22"/>
        </w:rPr>
        <w:t>Finanz- und Investitionsplan</w:t>
      </w:r>
    </w:p>
    <w:p w:rsidR="00A82500" w:rsidRDefault="00A82500">
      <w:pPr>
        <w:rPr>
          <w:rFonts w:ascii="Arial" w:hAnsi="Arial" w:cs="Arial"/>
          <w:b/>
          <w:bCs/>
          <w:sz w:val="22"/>
        </w:rPr>
      </w:pPr>
    </w:p>
    <w:p w:rsidR="00B75CDD" w:rsidRDefault="00A82500">
      <w:pPr>
        <w:jc w:val="both"/>
        <w:rPr>
          <w:rFonts w:ascii="Arial" w:hAnsi="Arial" w:cs="Arial"/>
          <w:b/>
          <w:bCs/>
          <w:sz w:val="22"/>
        </w:rPr>
      </w:pPr>
      <w:r>
        <w:rPr>
          <w:rFonts w:ascii="Arial" w:hAnsi="Arial" w:cs="Arial"/>
          <w:sz w:val="22"/>
        </w:rPr>
        <w:t xml:space="preserve">Der </w:t>
      </w:r>
      <w:r w:rsidR="00830C9B">
        <w:rPr>
          <w:rFonts w:ascii="Arial" w:hAnsi="Arial" w:cs="Arial"/>
          <w:sz w:val="22"/>
        </w:rPr>
        <w:t>Finanz- und Investitionsplan</w:t>
      </w:r>
      <w:r w:rsidR="00B75CDD">
        <w:rPr>
          <w:rFonts w:ascii="Arial" w:hAnsi="Arial" w:cs="Arial"/>
          <w:sz w:val="22"/>
        </w:rPr>
        <w:t xml:space="preserve"> </w:t>
      </w:r>
      <w:r>
        <w:rPr>
          <w:rFonts w:ascii="Arial" w:hAnsi="Arial" w:cs="Arial"/>
          <w:sz w:val="22"/>
        </w:rPr>
        <w:t>unterteilt sich in</w:t>
      </w:r>
      <w:r w:rsidR="00CA1FA1">
        <w:rPr>
          <w:rFonts w:ascii="Arial" w:hAnsi="Arial" w:cs="Arial"/>
          <w:sz w:val="22"/>
        </w:rPr>
        <w:t xml:space="preserve"> folgende</w:t>
      </w:r>
      <w:r>
        <w:rPr>
          <w:rFonts w:ascii="Arial" w:hAnsi="Arial" w:cs="Arial"/>
          <w:sz w:val="22"/>
        </w:rPr>
        <w:t xml:space="preserve"> drei Bereiche</w:t>
      </w:r>
      <w:r w:rsidR="00B75CDD">
        <w:rPr>
          <w:rFonts w:ascii="Arial" w:hAnsi="Arial" w:cs="Arial"/>
          <w:sz w:val="22"/>
        </w:rPr>
        <w:t>:</w:t>
      </w:r>
      <w:r>
        <w:rPr>
          <w:rFonts w:ascii="Arial" w:hAnsi="Arial" w:cs="Arial"/>
          <w:b/>
          <w:bCs/>
          <w:sz w:val="22"/>
        </w:rPr>
        <w:t xml:space="preserve"> </w:t>
      </w:r>
    </w:p>
    <w:p w:rsidR="00CA1FA1" w:rsidRDefault="00CA1FA1">
      <w:pPr>
        <w:jc w:val="both"/>
        <w:rPr>
          <w:rFonts w:ascii="Arial" w:hAnsi="Arial" w:cs="Arial"/>
          <w:b/>
          <w:bCs/>
          <w:sz w:val="22"/>
        </w:rPr>
      </w:pPr>
    </w:p>
    <w:p w:rsidR="006D4D59" w:rsidRDefault="006D4D59">
      <w:pPr>
        <w:jc w:val="both"/>
        <w:rPr>
          <w:rFonts w:ascii="Arial" w:hAnsi="Arial" w:cs="Arial"/>
          <w:b/>
          <w:bCs/>
          <w:sz w:val="22"/>
        </w:rPr>
      </w:pPr>
    </w:p>
    <w:p w:rsidR="007E4F5C" w:rsidRDefault="00B75CDD" w:rsidP="00485065">
      <w:pPr>
        <w:numPr>
          <w:ilvl w:val="1"/>
          <w:numId w:val="1"/>
        </w:numPr>
        <w:jc w:val="both"/>
        <w:rPr>
          <w:rFonts w:ascii="Arial" w:hAnsi="Arial" w:cs="Arial"/>
          <w:b/>
          <w:bCs/>
          <w:sz w:val="22"/>
        </w:rPr>
      </w:pPr>
      <w:r>
        <w:rPr>
          <w:rFonts w:ascii="Arial" w:hAnsi="Arial" w:cs="Arial"/>
          <w:b/>
          <w:bCs/>
          <w:sz w:val="22"/>
        </w:rPr>
        <w:t>Finanzplan</w:t>
      </w:r>
      <w:r w:rsidR="007E4F5C">
        <w:rPr>
          <w:rFonts w:ascii="Arial" w:hAnsi="Arial" w:cs="Arial"/>
          <w:b/>
          <w:bCs/>
          <w:sz w:val="22"/>
        </w:rPr>
        <w:br/>
      </w:r>
    </w:p>
    <w:p w:rsidR="006D4D59" w:rsidRDefault="00B75CDD" w:rsidP="00B75CDD">
      <w:pPr>
        <w:jc w:val="both"/>
        <w:rPr>
          <w:rFonts w:ascii="Arial" w:hAnsi="Arial" w:cs="Arial"/>
          <w:sz w:val="22"/>
        </w:rPr>
      </w:pPr>
      <w:r w:rsidRPr="007E4F5C">
        <w:rPr>
          <w:rFonts w:ascii="Arial" w:hAnsi="Arial" w:cs="Arial"/>
          <w:sz w:val="22"/>
        </w:rPr>
        <w:t>Der Teil Finanz</w:t>
      </w:r>
      <w:r w:rsidR="00D25FC1">
        <w:rPr>
          <w:rFonts w:ascii="Arial" w:hAnsi="Arial" w:cs="Arial"/>
          <w:sz w:val="22"/>
        </w:rPr>
        <w:t>plan</w:t>
      </w:r>
      <w:r w:rsidRPr="007E4F5C">
        <w:rPr>
          <w:rFonts w:ascii="Arial" w:hAnsi="Arial" w:cs="Arial"/>
          <w:sz w:val="22"/>
        </w:rPr>
        <w:t xml:space="preserve"> entspricht der Planerfolgsrechnung. Er weist die Planergebnisse, die v</w:t>
      </w:r>
      <w:r w:rsidRPr="007E4F5C">
        <w:rPr>
          <w:rFonts w:ascii="Arial" w:hAnsi="Arial" w:cs="Arial"/>
          <w:sz w:val="22"/>
        </w:rPr>
        <w:t>o</w:t>
      </w:r>
      <w:r w:rsidRPr="007E4F5C">
        <w:rPr>
          <w:rFonts w:ascii="Arial" w:hAnsi="Arial" w:cs="Arial"/>
          <w:sz w:val="22"/>
        </w:rPr>
        <w:t>raussichtliche Entwicklung der Aufwand- und Ertragsarten sowie den Selbstfinanzierungsgra</w:t>
      </w:r>
      <w:r w:rsidR="00694C4F">
        <w:rPr>
          <w:rFonts w:ascii="Arial" w:hAnsi="Arial" w:cs="Arial"/>
          <w:sz w:val="22"/>
        </w:rPr>
        <w:t xml:space="preserve">d </w:t>
      </w:r>
      <w:r w:rsidRPr="007E4F5C">
        <w:rPr>
          <w:rFonts w:ascii="Arial" w:hAnsi="Arial" w:cs="Arial"/>
          <w:sz w:val="22"/>
        </w:rPr>
        <w:t>aus.</w:t>
      </w:r>
      <w:r w:rsidR="006D4D59">
        <w:rPr>
          <w:rFonts w:ascii="Arial" w:hAnsi="Arial" w:cs="Arial"/>
          <w:sz w:val="22"/>
        </w:rPr>
        <w:t xml:space="preserve"> Anstelle der bisher gezeigten </w:t>
      </w:r>
      <w:r w:rsidR="00694C4F">
        <w:rPr>
          <w:rFonts w:ascii="Arial" w:hAnsi="Arial" w:cs="Arial"/>
          <w:sz w:val="22"/>
        </w:rPr>
        <w:t>sieben</w:t>
      </w:r>
      <w:r w:rsidR="006D4D59">
        <w:rPr>
          <w:rFonts w:ascii="Arial" w:hAnsi="Arial" w:cs="Arial"/>
          <w:sz w:val="22"/>
        </w:rPr>
        <w:t xml:space="preserve"> Planjahre werden aufgrund der speziellen Finanzs</w:t>
      </w:r>
      <w:r w:rsidR="006D4D59">
        <w:rPr>
          <w:rFonts w:ascii="Arial" w:hAnsi="Arial" w:cs="Arial"/>
          <w:sz w:val="22"/>
        </w:rPr>
        <w:t>i</w:t>
      </w:r>
      <w:r w:rsidR="006D4D59">
        <w:rPr>
          <w:rFonts w:ascii="Arial" w:hAnsi="Arial" w:cs="Arial"/>
          <w:sz w:val="22"/>
        </w:rPr>
        <w:t xml:space="preserve">tuation neu 6 Planjahre, das </w:t>
      </w:r>
      <w:r w:rsidR="0051216C">
        <w:rPr>
          <w:rFonts w:ascii="Arial" w:hAnsi="Arial" w:cs="Arial"/>
          <w:sz w:val="22"/>
        </w:rPr>
        <w:t>aktuelle</w:t>
      </w:r>
      <w:r w:rsidR="006D4D59">
        <w:rPr>
          <w:rFonts w:ascii="Arial" w:hAnsi="Arial" w:cs="Arial"/>
          <w:sz w:val="22"/>
        </w:rPr>
        <w:t xml:space="preserve"> Budget sowie das korrigierte Budget 2013 und die Erfolg</w:t>
      </w:r>
      <w:r w:rsidR="006D4D59">
        <w:rPr>
          <w:rFonts w:ascii="Arial" w:hAnsi="Arial" w:cs="Arial"/>
          <w:sz w:val="22"/>
        </w:rPr>
        <w:t>s</w:t>
      </w:r>
      <w:r w:rsidR="006D4D59">
        <w:rPr>
          <w:rFonts w:ascii="Arial" w:hAnsi="Arial" w:cs="Arial"/>
          <w:sz w:val="22"/>
        </w:rPr>
        <w:t>rechnung 2012 gezeigt.</w:t>
      </w:r>
    </w:p>
    <w:p w:rsidR="00D25FC1" w:rsidRDefault="00B75CDD" w:rsidP="00B75CDD">
      <w:pPr>
        <w:jc w:val="both"/>
        <w:rPr>
          <w:rFonts w:ascii="Arial" w:hAnsi="Arial" w:cs="Arial"/>
          <w:sz w:val="22"/>
        </w:rPr>
      </w:pPr>
      <w:r w:rsidRPr="007E4F5C">
        <w:rPr>
          <w:rFonts w:ascii="Arial" w:hAnsi="Arial" w:cs="Arial"/>
          <w:sz w:val="22"/>
        </w:rPr>
        <w:t xml:space="preserve">Ebenso sichtbar sind die Steuervorgaben und die Entwicklung des Nettovermögens bzw. der Nettoschuld. Die Parameter für die Prognosen basieren auf aktuellen Informationen und sind grösstenteils fremdbestimmt, wie nachfolgende Aufstellung zeigt.  </w:t>
      </w:r>
    </w:p>
    <w:p w:rsidR="00B75CDD" w:rsidRPr="00C0329D" w:rsidRDefault="00C0329D" w:rsidP="00B75CDD">
      <w:pPr>
        <w:jc w:val="both"/>
        <w:rPr>
          <w:rFonts w:ascii="Arial" w:hAnsi="Arial" w:cs="Arial"/>
          <w:b/>
          <w:bCs/>
          <w:sz w:val="8"/>
          <w:szCs w:val="8"/>
        </w:rPr>
      </w:pPr>
      <w:r>
        <w:rPr>
          <w:rFonts w:ascii="Arial" w:hAnsi="Arial" w:cs="Arial"/>
          <w:b/>
          <w:bCs/>
          <w:sz w:val="22"/>
        </w:rPr>
        <w:lastRenderedPageBreak/>
        <w:br/>
      </w:r>
    </w:p>
    <w:tbl>
      <w:tblPr>
        <w:tblW w:w="0" w:type="auto"/>
        <w:tblBorders>
          <w:top w:val="single" w:sz="8" w:space="0" w:color="000000"/>
          <w:bottom w:val="single" w:sz="8" w:space="0" w:color="000000"/>
        </w:tblBorders>
        <w:tblLook w:val="04A0"/>
      </w:tblPr>
      <w:tblGrid>
        <w:gridCol w:w="5670"/>
        <w:gridCol w:w="3794"/>
      </w:tblGrid>
      <w:tr w:rsidR="00B75CDD" w:rsidRPr="00C0329D" w:rsidTr="00485065">
        <w:tc>
          <w:tcPr>
            <w:tcW w:w="5670" w:type="dxa"/>
            <w:tcBorders>
              <w:top w:val="single" w:sz="8" w:space="0" w:color="000000"/>
              <w:left w:val="nil"/>
              <w:bottom w:val="single" w:sz="8" w:space="0" w:color="000000"/>
              <w:right w:val="nil"/>
            </w:tcBorders>
          </w:tcPr>
          <w:p w:rsidR="00B75CDD" w:rsidRPr="00C0329D" w:rsidRDefault="00B75CDD" w:rsidP="00485065">
            <w:pPr>
              <w:jc w:val="both"/>
              <w:rPr>
                <w:rFonts w:ascii="Arial" w:hAnsi="Arial" w:cs="Arial"/>
                <w:b/>
                <w:bCs/>
                <w:i/>
                <w:iCs/>
                <w:color w:val="000000"/>
                <w:sz w:val="22"/>
              </w:rPr>
            </w:pPr>
            <w:r w:rsidRPr="00C0329D">
              <w:rPr>
                <w:rFonts w:ascii="Arial" w:hAnsi="Arial" w:cs="Arial"/>
                <w:b/>
                <w:bCs/>
                <w:i/>
                <w:iCs/>
                <w:color w:val="000000"/>
                <w:sz w:val="22"/>
              </w:rPr>
              <w:t>Parameter</w:t>
            </w:r>
          </w:p>
        </w:tc>
        <w:tc>
          <w:tcPr>
            <w:tcW w:w="3794" w:type="dxa"/>
            <w:tcBorders>
              <w:top w:val="single" w:sz="8" w:space="0" w:color="000000"/>
              <w:left w:val="nil"/>
              <w:bottom w:val="single" w:sz="8" w:space="0" w:color="000000"/>
              <w:right w:val="nil"/>
            </w:tcBorders>
          </w:tcPr>
          <w:p w:rsidR="00B75CDD" w:rsidRPr="00C0329D" w:rsidRDefault="00B75CDD" w:rsidP="00485065">
            <w:pPr>
              <w:jc w:val="both"/>
              <w:rPr>
                <w:rFonts w:ascii="Arial" w:hAnsi="Arial" w:cs="Arial"/>
                <w:b/>
                <w:bCs/>
                <w:i/>
                <w:iCs/>
                <w:color w:val="000000"/>
                <w:sz w:val="22"/>
              </w:rPr>
            </w:pPr>
            <w:r w:rsidRPr="00C0329D">
              <w:rPr>
                <w:rFonts w:ascii="Arial" w:hAnsi="Arial" w:cs="Arial"/>
                <w:b/>
                <w:bCs/>
                <w:i/>
                <w:iCs/>
                <w:color w:val="000000"/>
                <w:sz w:val="22"/>
              </w:rPr>
              <w:t>Einfluss Gemeinde</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Investitionsvolumen</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mit Ausnahmen steuerbar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Selbstfinanzierungsgrad</w:t>
            </w:r>
          </w:p>
        </w:tc>
        <w:tc>
          <w:tcPr>
            <w:tcW w:w="3794" w:type="dxa"/>
          </w:tcPr>
          <w:p w:rsidR="00B75CDD" w:rsidRPr="00485065" w:rsidRDefault="00227037" w:rsidP="00485065">
            <w:pPr>
              <w:jc w:val="both"/>
              <w:rPr>
                <w:rFonts w:ascii="Arial" w:hAnsi="Arial" w:cs="Arial"/>
                <w:color w:val="000000"/>
                <w:sz w:val="22"/>
              </w:rPr>
            </w:pPr>
            <w:r>
              <w:rPr>
                <w:rFonts w:ascii="Arial" w:hAnsi="Arial" w:cs="Arial"/>
                <w:color w:val="000000"/>
                <w:sz w:val="22"/>
              </w:rPr>
              <w:t>s</w:t>
            </w:r>
            <w:r w:rsidR="00B75CDD" w:rsidRPr="00485065">
              <w:rPr>
                <w:rFonts w:ascii="Arial" w:hAnsi="Arial" w:cs="Arial"/>
                <w:color w:val="000000"/>
                <w:sz w:val="22"/>
              </w:rPr>
              <w:t>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Nettoschuld</w:t>
            </w:r>
          </w:p>
        </w:tc>
        <w:tc>
          <w:tcPr>
            <w:tcW w:w="3794" w:type="dxa"/>
            <w:tcBorders>
              <w:left w:val="nil"/>
              <w:right w:val="nil"/>
            </w:tcBorders>
            <w:shd w:val="clear" w:color="auto" w:fill="C0C0C0"/>
          </w:tcPr>
          <w:p w:rsidR="00B75CDD" w:rsidRPr="00485065" w:rsidRDefault="00227037" w:rsidP="00485065">
            <w:pPr>
              <w:jc w:val="both"/>
              <w:rPr>
                <w:rFonts w:ascii="Arial" w:hAnsi="Arial" w:cs="Arial"/>
                <w:color w:val="000000"/>
                <w:sz w:val="22"/>
              </w:rPr>
            </w:pPr>
            <w:r>
              <w:rPr>
                <w:rFonts w:ascii="Arial" w:hAnsi="Arial" w:cs="Arial"/>
                <w:color w:val="000000"/>
                <w:sz w:val="22"/>
              </w:rPr>
              <w:t>s</w:t>
            </w:r>
            <w:r w:rsidR="00B75CDD" w:rsidRPr="00485065">
              <w:rPr>
                <w:rFonts w:ascii="Arial" w:hAnsi="Arial" w:cs="Arial"/>
                <w:color w:val="000000"/>
                <w:sz w:val="22"/>
              </w:rPr>
              <w:t>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Wirtschaftswachstum real</w:t>
            </w:r>
          </w:p>
        </w:tc>
        <w:tc>
          <w:tcPr>
            <w:tcW w:w="3794" w:type="dxa"/>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Teuerung</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Zinsniveau</w:t>
            </w:r>
          </w:p>
        </w:tc>
        <w:tc>
          <w:tcPr>
            <w:tcW w:w="3794" w:type="dxa"/>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Bevölkerungswachstum</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beschränkt steuerbar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Wachstum Steuerertrag</w:t>
            </w:r>
          </w:p>
        </w:tc>
        <w:tc>
          <w:tcPr>
            <w:tcW w:w="3794" w:type="dxa"/>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Steuertarif</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Steuerfuss</w:t>
            </w:r>
          </w:p>
        </w:tc>
        <w:tc>
          <w:tcPr>
            <w:tcW w:w="3794" w:type="dxa"/>
          </w:tcPr>
          <w:p w:rsidR="00B75CDD" w:rsidRPr="00485065" w:rsidRDefault="00227037" w:rsidP="00485065">
            <w:pPr>
              <w:jc w:val="both"/>
              <w:rPr>
                <w:rFonts w:ascii="Arial" w:hAnsi="Arial" w:cs="Arial"/>
                <w:color w:val="000000"/>
                <w:sz w:val="22"/>
              </w:rPr>
            </w:pPr>
            <w:r>
              <w:rPr>
                <w:rFonts w:ascii="Arial" w:hAnsi="Arial" w:cs="Arial"/>
                <w:color w:val="000000"/>
                <w:sz w:val="22"/>
              </w:rPr>
              <w:t>s</w:t>
            </w:r>
            <w:r w:rsidR="00B75CDD" w:rsidRPr="00485065">
              <w:rPr>
                <w:rFonts w:ascii="Arial" w:hAnsi="Arial" w:cs="Arial"/>
                <w:color w:val="000000"/>
                <w:sz w:val="22"/>
              </w:rPr>
              <w:t>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Auswirkungen der Gesetze</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Auswirkungen von externen Beschlüssen</w:t>
            </w:r>
          </w:p>
        </w:tc>
        <w:tc>
          <w:tcPr>
            <w:tcW w:w="3794" w:type="dxa"/>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nicht steuerbar</w:t>
            </w:r>
          </w:p>
        </w:tc>
      </w:tr>
      <w:tr w:rsidR="00B75CDD" w:rsidRPr="00485065" w:rsidTr="00485065">
        <w:tc>
          <w:tcPr>
            <w:tcW w:w="5670" w:type="dxa"/>
            <w:tcBorders>
              <w:left w:val="nil"/>
              <w:right w:val="nil"/>
            </w:tcBorders>
            <w:shd w:val="clear" w:color="auto" w:fill="C0C0C0"/>
          </w:tcPr>
          <w:p w:rsidR="00B75CDD" w:rsidRPr="00C0329D" w:rsidRDefault="00B75CDD" w:rsidP="00485065">
            <w:pPr>
              <w:jc w:val="both"/>
              <w:rPr>
                <w:rFonts w:ascii="Arial" w:hAnsi="Arial" w:cs="Arial"/>
                <w:bCs/>
                <w:color w:val="000000"/>
                <w:sz w:val="22"/>
              </w:rPr>
            </w:pPr>
            <w:r w:rsidRPr="00C0329D">
              <w:rPr>
                <w:rFonts w:ascii="Arial" w:hAnsi="Arial" w:cs="Arial"/>
                <w:bCs/>
                <w:color w:val="000000"/>
                <w:sz w:val="22"/>
              </w:rPr>
              <w:t>Auswirkungen von internen Beschlüssen</w:t>
            </w:r>
          </w:p>
        </w:tc>
        <w:tc>
          <w:tcPr>
            <w:tcW w:w="3794" w:type="dxa"/>
            <w:tcBorders>
              <w:left w:val="nil"/>
              <w:right w:val="nil"/>
            </w:tcBorders>
            <w:shd w:val="clear" w:color="auto" w:fill="C0C0C0"/>
          </w:tcPr>
          <w:p w:rsidR="00B75CDD" w:rsidRPr="00485065" w:rsidRDefault="00B75CDD" w:rsidP="00485065">
            <w:pPr>
              <w:jc w:val="both"/>
              <w:rPr>
                <w:rFonts w:ascii="Arial" w:hAnsi="Arial" w:cs="Arial"/>
                <w:color w:val="000000"/>
                <w:sz w:val="22"/>
              </w:rPr>
            </w:pPr>
            <w:r w:rsidRPr="00485065">
              <w:rPr>
                <w:rFonts w:ascii="Arial" w:hAnsi="Arial" w:cs="Arial"/>
                <w:color w:val="000000"/>
                <w:sz w:val="22"/>
              </w:rPr>
              <w:t>beschränkt steuerbar</w:t>
            </w:r>
          </w:p>
        </w:tc>
      </w:tr>
    </w:tbl>
    <w:p w:rsidR="00D25FC1" w:rsidRDefault="00D25FC1" w:rsidP="00312948">
      <w:pPr>
        <w:tabs>
          <w:tab w:val="left" w:pos="5670"/>
          <w:tab w:val="left" w:pos="6663"/>
        </w:tabs>
        <w:jc w:val="both"/>
        <w:rPr>
          <w:rFonts w:ascii="Arial" w:hAnsi="Arial" w:cs="Arial"/>
          <w:sz w:val="22"/>
        </w:rPr>
      </w:pPr>
    </w:p>
    <w:p w:rsidR="00B75CDD" w:rsidRDefault="00B75CDD" w:rsidP="00312948">
      <w:pPr>
        <w:tabs>
          <w:tab w:val="left" w:pos="5670"/>
          <w:tab w:val="left" w:pos="6663"/>
        </w:tabs>
        <w:jc w:val="both"/>
        <w:rPr>
          <w:rFonts w:ascii="Arial" w:hAnsi="Arial" w:cs="Arial"/>
          <w:sz w:val="22"/>
        </w:rPr>
      </w:pPr>
      <w:r>
        <w:rPr>
          <w:rFonts w:ascii="Arial" w:hAnsi="Arial" w:cs="Arial"/>
          <w:sz w:val="22"/>
        </w:rPr>
        <w:t>Einzelne Parameter haben durchaus Auswirkungen auf andere Parameter. Beispielsweise kann ein zu hoher Steuerfuss das Bevölkerungswachstum bremsen oder eine zu grosse Verschu</w:t>
      </w:r>
      <w:r>
        <w:rPr>
          <w:rFonts w:ascii="Arial" w:hAnsi="Arial" w:cs="Arial"/>
          <w:sz w:val="22"/>
        </w:rPr>
        <w:t>l</w:t>
      </w:r>
      <w:r>
        <w:rPr>
          <w:rFonts w:ascii="Arial" w:hAnsi="Arial" w:cs="Arial"/>
          <w:sz w:val="22"/>
        </w:rPr>
        <w:t xml:space="preserve">dung kann das Investitionsvolumen der Folgejahre </w:t>
      </w:r>
      <w:r w:rsidR="0056589A">
        <w:rPr>
          <w:rFonts w:ascii="Arial" w:hAnsi="Arial" w:cs="Arial"/>
          <w:sz w:val="22"/>
        </w:rPr>
        <w:t>beeinflussen</w:t>
      </w:r>
      <w:r>
        <w:rPr>
          <w:rFonts w:ascii="Arial" w:hAnsi="Arial" w:cs="Arial"/>
          <w:sz w:val="22"/>
        </w:rPr>
        <w:t>.</w:t>
      </w:r>
    </w:p>
    <w:p w:rsidR="004D756D" w:rsidRDefault="004D756D" w:rsidP="00312948">
      <w:pPr>
        <w:tabs>
          <w:tab w:val="left" w:pos="5670"/>
          <w:tab w:val="left" w:pos="6663"/>
        </w:tabs>
        <w:jc w:val="both"/>
        <w:rPr>
          <w:rFonts w:ascii="Arial" w:hAnsi="Arial" w:cs="Arial"/>
          <w:sz w:val="22"/>
        </w:rPr>
      </w:pPr>
    </w:p>
    <w:p w:rsidR="004D756D" w:rsidRDefault="004D756D" w:rsidP="00312948">
      <w:pPr>
        <w:tabs>
          <w:tab w:val="left" w:pos="5670"/>
          <w:tab w:val="left" w:pos="6663"/>
        </w:tabs>
        <w:jc w:val="both"/>
        <w:rPr>
          <w:rFonts w:ascii="Arial" w:hAnsi="Arial" w:cs="Arial"/>
          <w:sz w:val="22"/>
        </w:rPr>
      </w:pPr>
      <w:r>
        <w:rPr>
          <w:rFonts w:ascii="Arial" w:hAnsi="Arial" w:cs="Arial"/>
          <w:sz w:val="22"/>
        </w:rPr>
        <w:t xml:space="preserve">Aufgrund der eingebrochenen Steuereinnahmen </w:t>
      </w:r>
      <w:r w:rsidR="009E1DB3">
        <w:rPr>
          <w:rFonts w:ascii="Arial" w:hAnsi="Arial" w:cs="Arial"/>
          <w:sz w:val="22"/>
        </w:rPr>
        <w:t xml:space="preserve">bei den juristischen Personen </w:t>
      </w:r>
      <w:r>
        <w:rPr>
          <w:rFonts w:ascii="Arial" w:hAnsi="Arial" w:cs="Arial"/>
          <w:sz w:val="22"/>
        </w:rPr>
        <w:t xml:space="preserve">hat der Stadtrat ein Entlastungspaket in Angriff genommen. Ziel des Entlastungspaketes ist </w:t>
      </w:r>
      <w:r w:rsidR="005713FF">
        <w:rPr>
          <w:rFonts w:ascii="Arial" w:hAnsi="Arial" w:cs="Arial"/>
          <w:sz w:val="22"/>
        </w:rPr>
        <w:t xml:space="preserve">es, </w:t>
      </w:r>
      <w:r>
        <w:rPr>
          <w:rFonts w:ascii="Arial" w:hAnsi="Arial" w:cs="Arial"/>
          <w:sz w:val="22"/>
        </w:rPr>
        <w:t>die erwähnten Einbrüche mit einem ausgewogenen Spar- und Ert</w:t>
      </w:r>
      <w:r w:rsidR="00694C4F">
        <w:rPr>
          <w:rFonts w:ascii="Arial" w:hAnsi="Arial" w:cs="Arial"/>
          <w:sz w:val="22"/>
        </w:rPr>
        <w:t>r</w:t>
      </w:r>
      <w:r>
        <w:rPr>
          <w:rFonts w:ascii="Arial" w:hAnsi="Arial" w:cs="Arial"/>
          <w:sz w:val="22"/>
        </w:rPr>
        <w:t xml:space="preserve">agsprogramm wieder ins Lot zu bringen. Aufgrund der beanspruchten Zeit wird entgegen dem üblichen </w:t>
      </w:r>
      <w:r w:rsidR="0051216C">
        <w:rPr>
          <w:rFonts w:ascii="Arial" w:hAnsi="Arial" w:cs="Arial"/>
          <w:sz w:val="22"/>
        </w:rPr>
        <w:t>Finanzplan</w:t>
      </w:r>
      <w:r>
        <w:rPr>
          <w:rFonts w:ascii="Arial" w:hAnsi="Arial" w:cs="Arial"/>
          <w:sz w:val="22"/>
        </w:rPr>
        <w:t xml:space="preserve"> das Budget 2014 a</w:t>
      </w:r>
      <w:r>
        <w:rPr>
          <w:rFonts w:ascii="Arial" w:hAnsi="Arial" w:cs="Arial"/>
          <w:sz w:val="22"/>
        </w:rPr>
        <w:t>n</w:t>
      </w:r>
      <w:r>
        <w:rPr>
          <w:rFonts w:ascii="Arial" w:hAnsi="Arial" w:cs="Arial"/>
          <w:sz w:val="22"/>
        </w:rPr>
        <w:t xml:space="preserve">stelle eines Finanzplanjahres integriert und nur </w:t>
      </w:r>
      <w:r w:rsidR="00694C4F">
        <w:rPr>
          <w:rFonts w:ascii="Arial" w:hAnsi="Arial" w:cs="Arial"/>
          <w:sz w:val="22"/>
        </w:rPr>
        <w:t>sechs</w:t>
      </w:r>
      <w:r>
        <w:rPr>
          <w:rFonts w:ascii="Arial" w:hAnsi="Arial" w:cs="Arial"/>
          <w:sz w:val="22"/>
        </w:rPr>
        <w:t xml:space="preserve"> Planjahre ausgewiesen.</w:t>
      </w:r>
    </w:p>
    <w:p w:rsidR="001E64EB" w:rsidRDefault="001E64EB" w:rsidP="00312948">
      <w:pPr>
        <w:tabs>
          <w:tab w:val="left" w:pos="5670"/>
          <w:tab w:val="left" w:pos="6663"/>
        </w:tabs>
        <w:jc w:val="both"/>
        <w:rPr>
          <w:rFonts w:ascii="Arial" w:hAnsi="Arial" w:cs="Arial"/>
          <w:sz w:val="22"/>
        </w:rPr>
      </w:pPr>
    </w:p>
    <w:p w:rsidR="001E64EB" w:rsidRDefault="001E64EB" w:rsidP="00312948">
      <w:pPr>
        <w:tabs>
          <w:tab w:val="left" w:pos="5670"/>
          <w:tab w:val="left" w:pos="6663"/>
        </w:tabs>
        <w:jc w:val="both"/>
        <w:rPr>
          <w:rFonts w:ascii="Arial" w:hAnsi="Arial" w:cs="Arial"/>
          <w:sz w:val="22"/>
        </w:rPr>
      </w:pPr>
      <w:r>
        <w:rPr>
          <w:rFonts w:ascii="Arial" w:hAnsi="Arial" w:cs="Arial"/>
          <w:sz w:val="22"/>
        </w:rPr>
        <w:t>Der Finanzplan hat folgende Veränderungen erfahren:</w:t>
      </w:r>
      <w:r>
        <w:rPr>
          <w:rFonts w:ascii="Arial" w:hAnsi="Arial" w:cs="Arial"/>
          <w:sz w:val="22"/>
        </w:rPr>
        <w:br/>
      </w:r>
      <w:r>
        <w:rPr>
          <w:rFonts w:ascii="Arial" w:hAnsi="Arial" w:cs="Arial"/>
          <w:sz w:val="22"/>
        </w:rPr>
        <w:br/>
      </w:r>
      <w:r w:rsidR="004D756D">
        <w:rPr>
          <w:rFonts w:ascii="Arial" w:hAnsi="Arial" w:cs="Arial"/>
          <w:sz w:val="22"/>
          <w:u w:val="single"/>
        </w:rPr>
        <w:t xml:space="preserve">Budget </w:t>
      </w:r>
      <w:r w:rsidRPr="001E64EB">
        <w:rPr>
          <w:rFonts w:ascii="Arial" w:hAnsi="Arial" w:cs="Arial"/>
          <w:sz w:val="22"/>
          <w:u w:val="single"/>
        </w:rPr>
        <w:t>2014:</w:t>
      </w:r>
    </w:p>
    <w:p w:rsidR="001E64EB" w:rsidRPr="001E64EB" w:rsidRDefault="001E64EB" w:rsidP="001E64EB">
      <w:pPr>
        <w:tabs>
          <w:tab w:val="left" w:pos="5670"/>
          <w:tab w:val="left" w:pos="6663"/>
        </w:tabs>
        <w:jc w:val="both"/>
        <w:rPr>
          <w:rFonts w:ascii="Arial" w:hAnsi="Arial" w:cs="Arial"/>
          <w:sz w:val="22"/>
        </w:rPr>
      </w:pPr>
    </w:p>
    <w:p w:rsidR="00B75CDD" w:rsidRDefault="001E64EB">
      <w:pPr>
        <w:jc w:val="both"/>
        <w:rPr>
          <w:rFonts w:ascii="Arial" w:hAnsi="Arial" w:cs="Arial"/>
          <w:bCs/>
          <w:sz w:val="22"/>
        </w:rPr>
      </w:pPr>
      <w:r>
        <w:rPr>
          <w:rFonts w:ascii="Arial" w:hAnsi="Arial" w:cs="Arial"/>
          <w:bCs/>
          <w:sz w:val="22"/>
        </w:rPr>
        <w:t xml:space="preserve">Durch die Abstimmung </w:t>
      </w:r>
      <w:r w:rsidR="007E1414">
        <w:rPr>
          <w:rFonts w:ascii="Arial" w:hAnsi="Arial" w:cs="Arial"/>
          <w:bCs/>
          <w:sz w:val="22"/>
        </w:rPr>
        <w:t>im Jahr 2013</w:t>
      </w:r>
      <w:r>
        <w:rPr>
          <w:rFonts w:ascii="Arial" w:hAnsi="Arial" w:cs="Arial"/>
          <w:bCs/>
          <w:sz w:val="22"/>
        </w:rPr>
        <w:t xml:space="preserve"> wechseln die Heilpädagogischen Sonderschulen (Rubriken 201 und 228) von der Stadt zum Kanton. Dieser Wechsel hat </w:t>
      </w:r>
      <w:r w:rsidR="006D4D59">
        <w:rPr>
          <w:rFonts w:ascii="Arial" w:hAnsi="Arial" w:cs="Arial"/>
          <w:bCs/>
          <w:sz w:val="22"/>
        </w:rPr>
        <w:t xml:space="preserve">Auswirkungen </w:t>
      </w:r>
      <w:r>
        <w:rPr>
          <w:rFonts w:ascii="Arial" w:hAnsi="Arial" w:cs="Arial"/>
          <w:bCs/>
          <w:sz w:val="22"/>
        </w:rPr>
        <w:t>bei Personal</w:t>
      </w:r>
      <w:r w:rsidR="00982A8C">
        <w:rPr>
          <w:rFonts w:ascii="Arial" w:hAnsi="Arial" w:cs="Arial"/>
          <w:bCs/>
          <w:sz w:val="22"/>
        </w:rPr>
        <w:t>-</w:t>
      </w:r>
      <w:r>
        <w:rPr>
          <w:rFonts w:ascii="Arial" w:hAnsi="Arial" w:cs="Arial"/>
          <w:bCs/>
          <w:sz w:val="22"/>
        </w:rPr>
        <w:t>, Sach-</w:t>
      </w:r>
      <w:r w:rsidR="005713FF">
        <w:rPr>
          <w:rFonts w:ascii="Arial" w:hAnsi="Arial" w:cs="Arial"/>
          <w:bCs/>
          <w:sz w:val="22"/>
        </w:rPr>
        <w:t xml:space="preserve"> und</w:t>
      </w:r>
      <w:r>
        <w:rPr>
          <w:rFonts w:ascii="Arial" w:hAnsi="Arial" w:cs="Arial"/>
          <w:bCs/>
          <w:sz w:val="22"/>
        </w:rPr>
        <w:t xml:space="preserve"> Beitrags</w:t>
      </w:r>
      <w:r w:rsidR="006D4D59">
        <w:rPr>
          <w:rFonts w:ascii="Arial" w:hAnsi="Arial" w:cs="Arial"/>
          <w:bCs/>
          <w:sz w:val="22"/>
        </w:rPr>
        <w:t>aufwand sowie Rückerstattungen des Kantons.</w:t>
      </w:r>
      <w:r>
        <w:rPr>
          <w:rFonts w:ascii="Arial" w:hAnsi="Arial" w:cs="Arial"/>
          <w:bCs/>
          <w:sz w:val="22"/>
        </w:rPr>
        <w:t xml:space="preserve"> Die Stadt konnte bisher i</w:t>
      </w:r>
      <w:r>
        <w:rPr>
          <w:rFonts w:ascii="Arial" w:hAnsi="Arial" w:cs="Arial"/>
          <w:bCs/>
          <w:sz w:val="22"/>
        </w:rPr>
        <w:t>n</w:t>
      </w:r>
      <w:r>
        <w:rPr>
          <w:rFonts w:ascii="Arial" w:hAnsi="Arial" w:cs="Arial"/>
          <w:bCs/>
          <w:sz w:val="22"/>
        </w:rPr>
        <w:t>terne Kosten unabhängig von der effektiven Höhe sowie kalkulatorische Zinsen geltend machen. Aufgrund des Wegganges und der pauschalen Overheadanrechnung bleibt bei der Stadt eine gewisse Kostenremanenz.</w:t>
      </w:r>
    </w:p>
    <w:p w:rsidR="003D24A6" w:rsidRDefault="003D24A6">
      <w:pPr>
        <w:jc w:val="both"/>
        <w:rPr>
          <w:rFonts w:ascii="Arial" w:hAnsi="Arial" w:cs="Arial"/>
          <w:bCs/>
          <w:sz w:val="22"/>
        </w:rPr>
      </w:pPr>
    </w:p>
    <w:p w:rsidR="003D24A6" w:rsidRDefault="003D24A6">
      <w:pPr>
        <w:jc w:val="both"/>
        <w:rPr>
          <w:rFonts w:ascii="Arial" w:hAnsi="Arial" w:cs="Arial"/>
          <w:bCs/>
          <w:sz w:val="22"/>
        </w:rPr>
      </w:pPr>
      <w:r>
        <w:rPr>
          <w:rFonts w:ascii="Arial" w:hAnsi="Arial" w:cs="Arial"/>
          <w:bCs/>
          <w:sz w:val="22"/>
        </w:rPr>
        <w:t>Im Weiteren wird der Betrieb des Cultibo, bei welchem nur die Projektphase abgelaufen ist</w:t>
      </w:r>
      <w:r w:rsidR="00712F97">
        <w:rPr>
          <w:rFonts w:ascii="Arial" w:hAnsi="Arial" w:cs="Arial"/>
          <w:bCs/>
          <w:sz w:val="22"/>
        </w:rPr>
        <w:t>,</w:t>
      </w:r>
      <w:r>
        <w:rPr>
          <w:rFonts w:ascii="Arial" w:hAnsi="Arial" w:cs="Arial"/>
          <w:bCs/>
          <w:sz w:val="22"/>
        </w:rPr>
        <w:t xml:space="preserve"> nun über die laufende Rechnung der Stadt bezahlt.</w:t>
      </w:r>
    </w:p>
    <w:p w:rsidR="0007496B" w:rsidRDefault="0007496B">
      <w:pPr>
        <w:jc w:val="both"/>
        <w:rPr>
          <w:rFonts w:ascii="Arial" w:hAnsi="Arial" w:cs="Arial"/>
          <w:bCs/>
          <w:sz w:val="22"/>
        </w:rPr>
      </w:pPr>
    </w:p>
    <w:p w:rsidR="0007496B" w:rsidRDefault="0041119C">
      <w:pPr>
        <w:jc w:val="both"/>
        <w:rPr>
          <w:rFonts w:ascii="Arial" w:hAnsi="Arial" w:cs="Arial"/>
          <w:bCs/>
          <w:sz w:val="22"/>
        </w:rPr>
      </w:pPr>
      <w:r>
        <w:rPr>
          <w:rFonts w:ascii="Arial" w:hAnsi="Arial" w:cs="Arial"/>
          <w:bCs/>
          <w:sz w:val="22"/>
        </w:rPr>
        <w:t>Mi</w:t>
      </w:r>
      <w:r w:rsidR="0007496B">
        <w:rPr>
          <w:rFonts w:ascii="Arial" w:hAnsi="Arial" w:cs="Arial"/>
          <w:bCs/>
          <w:sz w:val="22"/>
        </w:rPr>
        <w:t xml:space="preserve">t der Anpassung des Feuerwehrreglementes </w:t>
      </w:r>
      <w:r>
        <w:rPr>
          <w:rFonts w:ascii="Arial" w:hAnsi="Arial" w:cs="Arial"/>
          <w:bCs/>
          <w:sz w:val="22"/>
        </w:rPr>
        <w:t xml:space="preserve">wird </w:t>
      </w:r>
      <w:r w:rsidR="0007496B">
        <w:rPr>
          <w:rFonts w:ascii="Arial" w:hAnsi="Arial" w:cs="Arial"/>
          <w:bCs/>
          <w:sz w:val="22"/>
        </w:rPr>
        <w:t>das Dienstrücktrittsalter auf 45 Jahre e</w:t>
      </w:r>
      <w:r w:rsidR="0007496B">
        <w:rPr>
          <w:rFonts w:ascii="Arial" w:hAnsi="Arial" w:cs="Arial"/>
          <w:bCs/>
          <w:sz w:val="22"/>
        </w:rPr>
        <w:t>r</w:t>
      </w:r>
      <w:r w:rsidR="0007496B">
        <w:rPr>
          <w:rFonts w:ascii="Arial" w:hAnsi="Arial" w:cs="Arial"/>
          <w:bCs/>
          <w:sz w:val="22"/>
        </w:rPr>
        <w:t xml:space="preserve">höht. Nebst der längeren Beitragszeit </w:t>
      </w:r>
      <w:r w:rsidR="00712F97">
        <w:rPr>
          <w:rFonts w:ascii="Arial" w:hAnsi="Arial" w:cs="Arial"/>
          <w:bCs/>
          <w:sz w:val="22"/>
        </w:rPr>
        <w:t xml:space="preserve">wird </w:t>
      </w:r>
      <w:r w:rsidR="0007496B">
        <w:rPr>
          <w:rFonts w:ascii="Arial" w:hAnsi="Arial" w:cs="Arial"/>
          <w:bCs/>
          <w:sz w:val="22"/>
        </w:rPr>
        <w:t xml:space="preserve">die in die Feuerwehrleute investierte </w:t>
      </w:r>
      <w:r w:rsidR="0051216C">
        <w:rPr>
          <w:rFonts w:ascii="Arial" w:hAnsi="Arial" w:cs="Arial"/>
          <w:bCs/>
          <w:sz w:val="22"/>
        </w:rPr>
        <w:t>Ausbildung</w:t>
      </w:r>
      <w:r w:rsidR="0007496B">
        <w:rPr>
          <w:rFonts w:ascii="Arial" w:hAnsi="Arial" w:cs="Arial"/>
          <w:bCs/>
          <w:sz w:val="22"/>
        </w:rPr>
        <w:t xml:space="preserve"> lä</w:t>
      </w:r>
      <w:r w:rsidR="0007496B">
        <w:rPr>
          <w:rFonts w:ascii="Arial" w:hAnsi="Arial" w:cs="Arial"/>
          <w:bCs/>
          <w:sz w:val="22"/>
        </w:rPr>
        <w:t>n</w:t>
      </w:r>
      <w:r w:rsidR="0007496B">
        <w:rPr>
          <w:rFonts w:ascii="Arial" w:hAnsi="Arial" w:cs="Arial"/>
          <w:bCs/>
          <w:sz w:val="22"/>
        </w:rPr>
        <w:t>ger genutzt.</w:t>
      </w:r>
    </w:p>
    <w:p w:rsidR="0041119C" w:rsidRDefault="0041119C">
      <w:pPr>
        <w:jc w:val="both"/>
        <w:rPr>
          <w:rFonts w:ascii="Arial" w:hAnsi="Arial" w:cs="Arial"/>
          <w:bCs/>
          <w:sz w:val="22"/>
        </w:rPr>
      </w:pPr>
    </w:p>
    <w:p w:rsidR="0041119C" w:rsidRDefault="0041119C">
      <w:pPr>
        <w:jc w:val="both"/>
        <w:rPr>
          <w:rFonts w:ascii="Arial" w:hAnsi="Arial" w:cs="Arial"/>
          <w:bCs/>
          <w:sz w:val="22"/>
        </w:rPr>
      </w:pPr>
      <w:r>
        <w:rPr>
          <w:rFonts w:ascii="Arial" w:hAnsi="Arial" w:cs="Arial"/>
          <w:bCs/>
          <w:sz w:val="22"/>
        </w:rPr>
        <w:t xml:space="preserve">Bei den Schulen musste das Budget 2014 aufgrund höherer Schülerzahlen beim </w:t>
      </w:r>
      <w:r w:rsidR="00712F97">
        <w:rPr>
          <w:rFonts w:ascii="Arial" w:hAnsi="Arial" w:cs="Arial"/>
          <w:bCs/>
          <w:sz w:val="22"/>
        </w:rPr>
        <w:t>progymnasi</w:t>
      </w:r>
      <w:r w:rsidR="00712F97">
        <w:rPr>
          <w:rFonts w:ascii="Arial" w:hAnsi="Arial" w:cs="Arial"/>
          <w:bCs/>
          <w:sz w:val="22"/>
        </w:rPr>
        <w:t>a</w:t>
      </w:r>
      <w:r w:rsidR="00712F97">
        <w:rPr>
          <w:rFonts w:ascii="Arial" w:hAnsi="Arial" w:cs="Arial"/>
          <w:bCs/>
          <w:sz w:val="22"/>
        </w:rPr>
        <w:t xml:space="preserve">len </w:t>
      </w:r>
      <w:r>
        <w:rPr>
          <w:rFonts w:ascii="Arial" w:hAnsi="Arial" w:cs="Arial"/>
          <w:bCs/>
          <w:sz w:val="22"/>
        </w:rPr>
        <w:t>und gymnasialen Unterricht um rund 0.5 Millionen Franken erhöht werden.</w:t>
      </w:r>
    </w:p>
    <w:p w:rsidR="007E1414" w:rsidRDefault="007E1414">
      <w:pPr>
        <w:jc w:val="both"/>
        <w:rPr>
          <w:rFonts w:ascii="Arial" w:hAnsi="Arial" w:cs="Arial"/>
          <w:bCs/>
          <w:sz w:val="22"/>
        </w:rPr>
      </w:pPr>
    </w:p>
    <w:p w:rsidR="00044A27" w:rsidRDefault="007E1414">
      <w:pPr>
        <w:jc w:val="both"/>
        <w:rPr>
          <w:rFonts w:ascii="Arial" w:hAnsi="Arial" w:cs="Arial"/>
          <w:bCs/>
          <w:sz w:val="22"/>
        </w:rPr>
      </w:pPr>
      <w:r>
        <w:rPr>
          <w:rFonts w:ascii="Arial" w:hAnsi="Arial" w:cs="Arial"/>
          <w:bCs/>
          <w:sz w:val="22"/>
        </w:rPr>
        <w:t xml:space="preserve">Gegenüber dem Budget 2013 muss bei der </w:t>
      </w:r>
      <w:r w:rsidR="0041119C">
        <w:rPr>
          <w:rFonts w:ascii="Arial" w:hAnsi="Arial" w:cs="Arial"/>
          <w:bCs/>
          <w:sz w:val="22"/>
        </w:rPr>
        <w:t>sozialen Wohlfahrt</w:t>
      </w:r>
      <w:r>
        <w:rPr>
          <w:rFonts w:ascii="Arial" w:hAnsi="Arial" w:cs="Arial"/>
          <w:bCs/>
          <w:sz w:val="22"/>
        </w:rPr>
        <w:t xml:space="preserve"> erneut </w:t>
      </w:r>
      <w:r w:rsidR="00B136F4">
        <w:rPr>
          <w:rFonts w:ascii="Arial" w:hAnsi="Arial" w:cs="Arial"/>
          <w:bCs/>
          <w:sz w:val="22"/>
        </w:rPr>
        <w:t xml:space="preserve">ein Anstieg </w:t>
      </w:r>
      <w:r w:rsidR="00F21458">
        <w:rPr>
          <w:rFonts w:ascii="Arial" w:hAnsi="Arial" w:cs="Arial"/>
          <w:bCs/>
          <w:sz w:val="22"/>
        </w:rPr>
        <w:t>der Nettoko</w:t>
      </w:r>
      <w:r w:rsidR="00F21458">
        <w:rPr>
          <w:rFonts w:ascii="Arial" w:hAnsi="Arial" w:cs="Arial"/>
          <w:bCs/>
          <w:sz w:val="22"/>
        </w:rPr>
        <w:t>s</w:t>
      </w:r>
      <w:r w:rsidR="00F21458">
        <w:rPr>
          <w:rFonts w:ascii="Arial" w:hAnsi="Arial" w:cs="Arial"/>
          <w:bCs/>
          <w:sz w:val="22"/>
        </w:rPr>
        <w:t xml:space="preserve">ten </w:t>
      </w:r>
      <w:r w:rsidR="00B136F4">
        <w:rPr>
          <w:rFonts w:ascii="Arial" w:hAnsi="Arial" w:cs="Arial"/>
          <w:bCs/>
          <w:sz w:val="22"/>
        </w:rPr>
        <w:t xml:space="preserve">von </w:t>
      </w:r>
      <w:r w:rsidR="006402FA">
        <w:rPr>
          <w:rFonts w:ascii="Arial" w:hAnsi="Arial" w:cs="Arial"/>
          <w:bCs/>
          <w:sz w:val="22"/>
        </w:rPr>
        <w:t xml:space="preserve">0.75 </w:t>
      </w:r>
      <w:r w:rsidR="0041119C">
        <w:rPr>
          <w:rFonts w:ascii="Arial" w:hAnsi="Arial" w:cs="Arial"/>
          <w:bCs/>
          <w:sz w:val="22"/>
        </w:rPr>
        <w:t>Million</w:t>
      </w:r>
      <w:r w:rsidR="00B136F4">
        <w:rPr>
          <w:rFonts w:ascii="Arial" w:hAnsi="Arial" w:cs="Arial"/>
          <w:bCs/>
          <w:sz w:val="22"/>
        </w:rPr>
        <w:t xml:space="preserve"> Franken oder </w:t>
      </w:r>
      <w:r w:rsidR="006402FA">
        <w:rPr>
          <w:rFonts w:ascii="Arial" w:hAnsi="Arial" w:cs="Arial"/>
          <w:bCs/>
          <w:sz w:val="22"/>
        </w:rPr>
        <w:t>4</w:t>
      </w:r>
      <w:r w:rsidR="0041119C">
        <w:rPr>
          <w:rFonts w:ascii="Arial" w:hAnsi="Arial" w:cs="Arial"/>
          <w:bCs/>
          <w:sz w:val="22"/>
        </w:rPr>
        <w:t>.</w:t>
      </w:r>
      <w:r w:rsidR="006402FA">
        <w:rPr>
          <w:rFonts w:ascii="Arial" w:hAnsi="Arial" w:cs="Arial"/>
          <w:bCs/>
          <w:sz w:val="22"/>
        </w:rPr>
        <w:t>7</w:t>
      </w:r>
      <w:r w:rsidR="0041119C">
        <w:rPr>
          <w:rFonts w:ascii="Arial" w:hAnsi="Arial" w:cs="Arial"/>
          <w:bCs/>
          <w:sz w:val="22"/>
        </w:rPr>
        <w:t xml:space="preserve"> </w:t>
      </w:r>
      <w:r w:rsidR="00B136F4">
        <w:rPr>
          <w:rFonts w:ascii="Arial" w:hAnsi="Arial" w:cs="Arial"/>
          <w:bCs/>
          <w:sz w:val="22"/>
        </w:rPr>
        <w:t>% hingenommen werden. Die Steigerung in diesem B</w:t>
      </w:r>
      <w:r w:rsidR="00B136F4">
        <w:rPr>
          <w:rFonts w:ascii="Arial" w:hAnsi="Arial" w:cs="Arial"/>
          <w:bCs/>
          <w:sz w:val="22"/>
        </w:rPr>
        <w:t>e</w:t>
      </w:r>
      <w:r w:rsidR="00B136F4">
        <w:rPr>
          <w:rFonts w:ascii="Arial" w:hAnsi="Arial" w:cs="Arial"/>
          <w:bCs/>
          <w:sz w:val="22"/>
        </w:rPr>
        <w:t xml:space="preserve">reich beträgt nun innert 3 Jahren mehr als </w:t>
      </w:r>
      <w:r w:rsidR="0041119C">
        <w:rPr>
          <w:rFonts w:ascii="Arial" w:hAnsi="Arial" w:cs="Arial"/>
          <w:bCs/>
          <w:sz w:val="22"/>
        </w:rPr>
        <w:t>3</w:t>
      </w:r>
      <w:r w:rsidR="00B136F4">
        <w:rPr>
          <w:rFonts w:ascii="Arial" w:hAnsi="Arial" w:cs="Arial"/>
          <w:bCs/>
          <w:sz w:val="22"/>
        </w:rPr>
        <w:t>.</w:t>
      </w:r>
      <w:r w:rsidR="006402FA">
        <w:rPr>
          <w:rFonts w:ascii="Arial" w:hAnsi="Arial" w:cs="Arial"/>
          <w:bCs/>
          <w:sz w:val="22"/>
        </w:rPr>
        <w:t>1</w:t>
      </w:r>
      <w:r w:rsidR="00B136F4">
        <w:rPr>
          <w:rFonts w:ascii="Arial" w:hAnsi="Arial" w:cs="Arial"/>
          <w:bCs/>
          <w:sz w:val="22"/>
        </w:rPr>
        <w:t xml:space="preserve"> Millionen Franken oder einem Plus von </w:t>
      </w:r>
      <w:r w:rsidR="0041119C">
        <w:rPr>
          <w:rFonts w:ascii="Arial" w:hAnsi="Arial" w:cs="Arial"/>
          <w:bCs/>
          <w:sz w:val="22"/>
        </w:rPr>
        <w:t>2</w:t>
      </w:r>
      <w:r w:rsidR="006402FA">
        <w:rPr>
          <w:rFonts w:ascii="Arial" w:hAnsi="Arial" w:cs="Arial"/>
          <w:bCs/>
          <w:sz w:val="22"/>
        </w:rPr>
        <w:t>2</w:t>
      </w:r>
      <w:r w:rsidR="0041119C">
        <w:rPr>
          <w:rFonts w:ascii="Arial" w:hAnsi="Arial" w:cs="Arial"/>
          <w:bCs/>
          <w:sz w:val="22"/>
        </w:rPr>
        <w:t>.</w:t>
      </w:r>
      <w:r w:rsidR="006402FA">
        <w:rPr>
          <w:rFonts w:ascii="Arial" w:hAnsi="Arial" w:cs="Arial"/>
          <w:bCs/>
          <w:sz w:val="22"/>
        </w:rPr>
        <w:t>7</w:t>
      </w:r>
      <w:r w:rsidR="00B136F4">
        <w:rPr>
          <w:rFonts w:ascii="Arial" w:hAnsi="Arial" w:cs="Arial"/>
          <w:bCs/>
          <w:sz w:val="22"/>
        </w:rPr>
        <w:t>%</w:t>
      </w:r>
      <w:r w:rsidR="00180B6B">
        <w:rPr>
          <w:rFonts w:ascii="Arial" w:hAnsi="Arial" w:cs="Arial"/>
          <w:bCs/>
          <w:sz w:val="22"/>
        </w:rPr>
        <w:t>.</w:t>
      </w:r>
      <w:r w:rsidR="00B136F4">
        <w:rPr>
          <w:rFonts w:ascii="Arial" w:hAnsi="Arial" w:cs="Arial"/>
          <w:bCs/>
          <w:sz w:val="22"/>
        </w:rPr>
        <w:t xml:space="preserve"> Alleine zur Deckung dieser </w:t>
      </w:r>
      <w:r w:rsidR="007A4B4B">
        <w:rPr>
          <w:rFonts w:ascii="Arial" w:hAnsi="Arial" w:cs="Arial"/>
          <w:bCs/>
          <w:sz w:val="22"/>
        </w:rPr>
        <w:t>Kostensteigerung</w:t>
      </w:r>
      <w:r w:rsidR="00B136F4">
        <w:rPr>
          <w:rFonts w:ascii="Arial" w:hAnsi="Arial" w:cs="Arial"/>
          <w:bCs/>
          <w:sz w:val="22"/>
        </w:rPr>
        <w:t xml:space="preserve"> muss die Stadt </w:t>
      </w:r>
      <w:r w:rsidR="007A4B4B">
        <w:rPr>
          <w:rFonts w:ascii="Arial" w:hAnsi="Arial" w:cs="Arial"/>
          <w:bCs/>
          <w:sz w:val="22"/>
        </w:rPr>
        <w:t>zusätzlich</w:t>
      </w:r>
      <w:r w:rsidR="00B136F4">
        <w:rPr>
          <w:rFonts w:ascii="Arial" w:hAnsi="Arial" w:cs="Arial"/>
          <w:bCs/>
          <w:sz w:val="22"/>
        </w:rPr>
        <w:t xml:space="preserve"> rund </w:t>
      </w:r>
      <w:r w:rsidR="006402FA">
        <w:rPr>
          <w:rFonts w:ascii="Arial" w:hAnsi="Arial" w:cs="Arial"/>
          <w:bCs/>
          <w:sz w:val="22"/>
        </w:rPr>
        <w:t>5</w:t>
      </w:r>
      <w:r w:rsidR="00B136F4">
        <w:rPr>
          <w:rFonts w:ascii="Arial" w:hAnsi="Arial" w:cs="Arial"/>
          <w:bCs/>
          <w:sz w:val="22"/>
        </w:rPr>
        <w:t xml:space="preserve"> Steuerpunkte generieren.</w:t>
      </w:r>
    </w:p>
    <w:p w:rsidR="00044A27" w:rsidRDefault="00044A27">
      <w:pPr>
        <w:jc w:val="both"/>
        <w:rPr>
          <w:rFonts w:ascii="Arial" w:hAnsi="Arial" w:cs="Arial"/>
          <w:bCs/>
          <w:sz w:val="22"/>
        </w:rPr>
      </w:pPr>
    </w:p>
    <w:p w:rsidR="007E1414" w:rsidRDefault="00044A27">
      <w:pPr>
        <w:jc w:val="both"/>
        <w:rPr>
          <w:rFonts w:ascii="Arial" w:hAnsi="Arial" w:cs="Arial"/>
          <w:bCs/>
          <w:sz w:val="22"/>
        </w:rPr>
      </w:pPr>
      <w:r>
        <w:rPr>
          <w:rFonts w:ascii="Arial" w:hAnsi="Arial" w:cs="Arial"/>
          <w:bCs/>
          <w:sz w:val="22"/>
        </w:rPr>
        <w:lastRenderedPageBreak/>
        <w:t xml:space="preserve">Zudem </w:t>
      </w:r>
      <w:r w:rsidR="00AC2C81">
        <w:rPr>
          <w:rFonts w:ascii="Arial" w:hAnsi="Arial" w:cs="Arial"/>
          <w:bCs/>
          <w:sz w:val="22"/>
        </w:rPr>
        <w:t xml:space="preserve">findet </w:t>
      </w:r>
      <w:r w:rsidR="00F21458">
        <w:rPr>
          <w:rFonts w:ascii="Arial" w:hAnsi="Arial" w:cs="Arial"/>
          <w:bCs/>
          <w:sz w:val="22"/>
        </w:rPr>
        <w:t xml:space="preserve">der bereits beschlossene </w:t>
      </w:r>
      <w:r w:rsidR="00AC2C81">
        <w:rPr>
          <w:rFonts w:ascii="Arial" w:hAnsi="Arial" w:cs="Arial"/>
          <w:bCs/>
          <w:sz w:val="22"/>
        </w:rPr>
        <w:t>Teil des Entlastungspaketes im Budget 2014 seinen Niederschlag</w:t>
      </w:r>
      <w:r w:rsidR="00B136F4">
        <w:rPr>
          <w:rFonts w:ascii="Arial" w:hAnsi="Arial" w:cs="Arial"/>
          <w:bCs/>
          <w:sz w:val="22"/>
        </w:rPr>
        <w:t xml:space="preserve"> </w:t>
      </w:r>
      <w:r w:rsidR="00F21458">
        <w:rPr>
          <w:rFonts w:ascii="Arial" w:hAnsi="Arial" w:cs="Arial"/>
          <w:bCs/>
          <w:sz w:val="22"/>
        </w:rPr>
        <w:t>(Näheres zum Entlastungspaket unter Kapitel 8)</w:t>
      </w:r>
      <w:r w:rsidR="005713FF">
        <w:rPr>
          <w:rFonts w:ascii="Arial" w:hAnsi="Arial" w:cs="Arial"/>
          <w:bCs/>
          <w:sz w:val="22"/>
        </w:rPr>
        <w:t>.</w:t>
      </w:r>
    </w:p>
    <w:p w:rsidR="001E64EB" w:rsidRDefault="001E64EB">
      <w:pPr>
        <w:jc w:val="both"/>
        <w:rPr>
          <w:rFonts w:ascii="Arial" w:hAnsi="Arial" w:cs="Arial"/>
          <w:bCs/>
          <w:sz w:val="22"/>
        </w:rPr>
      </w:pPr>
    </w:p>
    <w:p w:rsidR="00F21458" w:rsidRDefault="00F21458">
      <w:pPr>
        <w:jc w:val="both"/>
        <w:rPr>
          <w:rFonts w:ascii="Arial" w:hAnsi="Arial" w:cs="Arial"/>
          <w:bCs/>
          <w:sz w:val="22"/>
          <w:u w:val="single"/>
        </w:rPr>
      </w:pPr>
    </w:p>
    <w:p w:rsidR="001E64EB" w:rsidRPr="001E64EB" w:rsidRDefault="007A4B4B">
      <w:pPr>
        <w:jc w:val="both"/>
        <w:rPr>
          <w:rFonts w:ascii="Arial" w:hAnsi="Arial" w:cs="Arial"/>
          <w:bCs/>
          <w:sz w:val="22"/>
          <w:u w:val="single"/>
        </w:rPr>
      </w:pPr>
      <w:r>
        <w:rPr>
          <w:rFonts w:ascii="Arial" w:hAnsi="Arial" w:cs="Arial"/>
          <w:bCs/>
          <w:sz w:val="22"/>
          <w:u w:val="single"/>
        </w:rPr>
        <w:t xml:space="preserve">Finanzplanjahre </w:t>
      </w:r>
      <w:r w:rsidR="001E64EB" w:rsidRPr="001E64EB">
        <w:rPr>
          <w:rFonts w:ascii="Arial" w:hAnsi="Arial" w:cs="Arial"/>
          <w:bCs/>
          <w:sz w:val="22"/>
          <w:u w:val="single"/>
        </w:rPr>
        <w:t>2015ff:</w:t>
      </w:r>
      <w:r w:rsidR="001E64EB" w:rsidRPr="001E64EB">
        <w:rPr>
          <w:rFonts w:ascii="Arial" w:hAnsi="Arial" w:cs="Arial"/>
          <w:bCs/>
          <w:sz w:val="22"/>
          <w:u w:val="single"/>
        </w:rPr>
        <w:br/>
      </w:r>
    </w:p>
    <w:p w:rsidR="001E64EB" w:rsidRDefault="001353EA">
      <w:pPr>
        <w:jc w:val="both"/>
        <w:rPr>
          <w:rFonts w:ascii="Arial" w:hAnsi="Arial" w:cs="Arial"/>
          <w:bCs/>
          <w:sz w:val="22"/>
        </w:rPr>
      </w:pPr>
      <w:r>
        <w:rPr>
          <w:rFonts w:ascii="Arial" w:hAnsi="Arial" w:cs="Arial"/>
          <w:bCs/>
          <w:sz w:val="22"/>
        </w:rPr>
        <w:t>Unter der Federführung des Kantons wurde ein neuer kantonaler Finanzausgleich ausgearbe</w:t>
      </w:r>
      <w:r>
        <w:rPr>
          <w:rFonts w:ascii="Arial" w:hAnsi="Arial" w:cs="Arial"/>
          <w:bCs/>
          <w:sz w:val="22"/>
        </w:rPr>
        <w:t>i</w:t>
      </w:r>
      <w:r>
        <w:rPr>
          <w:rFonts w:ascii="Arial" w:hAnsi="Arial" w:cs="Arial"/>
          <w:bCs/>
          <w:sz w:val="22"/>
        </w:rPr>
        <w:t>tet</w:t>
      </w:r>
      <w:r w:rsidR="005713FF">
        <w:rPr>
          <w:rFonts w:ascii="Arial" w:hAnsi="Arial" w:cs="Arial"/>
          <w:bCs/>
          <w:sz w:val="22"/>
        </w:rPr>
        <w:t>,</w:t>
      </w:r>
      <w:r>
        <w:rPr>
          <w:rFonts w:ascii="Arial" w:hAnsi="Arial" w:cs="Arial"/>
          <w:bCs/>
          <w:sz w:val="22"/>
        </w:rPr>
        <w:t xml:space="preserve"> welcher zur Vernehmlassung stand. </w:t>
      </w:r>
      <w:r w:rsidR="00180B6B">
        <w:rPr>
          <w:rFonts w:ascii="Arial" w:hAnsi="Arial" w:cs="Arial"/>
          <w:bCs/>
          <w:sz w:val="22"/>
        </w:rPr>
        <w:t xml:space="preserve">Durch den Wegfall der Finanzierungsobergrenze des Finanzausgleiches (Kanton/Gebergemeinden je 7.5 </w:t>
      </w:r>
      <w:r w:rsidR="00DD73CA">
        <w:rPr>
          <w:rFonts w:ascii="Arial" w:hAnsi="Arial" w:cs="Arial"/>
          <w:bCs/>
          <w:sz w:val="22"/>
        </w:rPr>
        <w:t>Mio.</w:t>
      </w:r>
      <w:r w:rsidR="00180B6B">
        <w:rPr>
          <w:rFonts w:ascii="Arial" w:hAnsi="Arial" w:cs="Arial"/>
          <w:bCs/>
          <w:sz w:val="22"/>
        </w:rPr>
        <w:t xml:space="preserve">) und der Umstellung auf einen „nicht limitierten“ Niveauausgleich wird </w:t>
      </w:r>
      <w:r w:rsidR="00793AC4">
        <w:rPr>
          <w:rFonts w:ascii="Arial" w:hAnsi="Arial" w:cs="Arial"/>
          <w:bCs/>
          <w:sz w:val="22"/>
        </w:rPr>
        <w:t>die Stadt Olten</w:t>
      </w:r>
      <w:r w:rsidR="00180B6B">
        <w:rPr>
          <w:rFonts w:ascii="Arial" w:hAnsi="Arial" w:cs="Arial"/>
          <w:bCs/>
          <w:sz w:val="22"/>
        </w:rPr>
        <w:t xml:space="preserve"> beim horizontalen Ressourcenausgleich</w:t>
      </w:r>
      <w:r w:rsidR="00793AC4">
        <w:rPr>
          <w:rFonts w:ascii="Arial" w:hAnsi="Arial" w:cs="Arial"/>
          <w:bCs/>
          <w:sz w:val="22"/>
        </w:rPr>
        <w:t xml:space="preserve"> erhe</w:t>
      </w:r>
      <w:r w:rsidR="00793AC4">
        <w:rPr>
          <w:rFonts w:ascii="Arial" w:hAnsi="Arial" w:cs="Arial"/>
          <w:bCs/>
          <w:sz w:val="22"/>
        </w:rPr>
        <w:t>b</w:t>
      </w:r>
      <w:r w:rsidR="00793AC4">
        <w:rPr>
          <w:rFonts w:ascii="Arial" w:hAnsi="Arial" w:cs="Arial"/>
          <w:bCs/>
          <w:sz w:val="22"/>
        </w:rPr>
        <w:t>lich höhere Beiträge leisten müssen, erhält jedoch mit der Einführung einer Schülerpauschale an die Bildung höhere Beiträge. Berechnungen zeigen</w:t>
      </w:r>
      <w:r w:rsidR="005713FF">
        <w:rPr>
          <w:rFonts w:ascii="Arial" w:hAnsi="Arial" w:cs="Arial"/>
          <w:bCs/>
          <w:sz w:val="22"/>
        </w:rPr>
        <w:t>,</w:t>
      </w:r>
      <w:r w:rsidR="00793AC4">
        <w:rPr>
          <w:rFonts w:ascii="Arial" w:hAnsi="Arial" w:cs="Arial"/>
          <w:bCs/>
          <w:sz w:val="22"/>
        </w:rPr>
        <w:t xml:space="preserve"> dass </w:t>
      </w:r>
      <w:r w:rsidR="00982A8C">
        <w:rPr>
          <w:rFonts w:ascii="Arial" w:hAnsi="Arial" w:cs="Arial"/>
          <w:bCs/>
          <w:sz w:val="22"/>
        </w:rPr>
        <w:t xml:space="preserve">die Stadt </w:t>
      </w:r>
      <w:r w:rsidR="00793AC4">
        <w:rPr>
          <w:rFonts w:ascii="Arial" w:hAnsi="Arial" w:cs="Arial"/>
          <w:bCs/>
          <w:sz w:val="22"/>
        </w:rPr>
        <w:t>Olten bei einem Steuerau</w:t>
      </w:r>
      <w:r w:rsidR="00793AC4">
        <w:rPr>
          <w:rFonts w:ascii="Arial" w:hAnsi="Arial" w:cs="Arial"/>
          <w:bCs/>
          <w:sz w:val="22"/>
        </w:rPr>
        <w:t>f</w:t>
      </w:r>
      <w:r w:rsidR="00793AC4">
        <w:rPr>
          <w:rFonts w:ascii="Arial" w:hAnsi="Arial" w:cs="Arial"/>
          <w:bCs/>
          <w:sz w:val="22"/>
        </w:rPr>
        <w:t>kommen</w:t>
      </w:r>
      <w:r w:rsidR="00712F97">
        <w:rPr>
          <w:rFonts w:ascii="Arial" w:hAnsi="Arial" w:cs="Arial"/>
          <w:bCs/>
          <w:sz w:val="22"/>
        </w:rPr>
        <w:t>,</w:t>
      </w:r>
      <w:r w:rsidR="00793AC4">
        <w:rPr>
          <w:rFonts w:ascii="Arial" w:hAnsi="Arial" w:cs="Arial"/>
          <w:bCs/>
          <w:sz w:val="22"/>
        </w:rPr>
        <w:t xml:space="preserve"> wie es in den Jahren 2008 – 2010 der Fall war</w:t>
      </w:r>
      <w:r w:rsidR="005713FF">
        <w:rPr>
          <w:rFonts w:ascii="Arial" w:hAnsi="Arial" w:cs="Arial"/>
          <w:bCs/>
          <w:sz w:val="22"/>
        </w:rPr>
        <w:t>,</w:t>
      </w:r>
      <w:r w:rsidR="00793AC4">
        <w:rPr>
          <w:rFonts w:ascii="Arial" w:hAnsi="Arial" w:cs="Arial"/>
          <w:bCs/>
          <w:sz w:val="22"/>
        </w:rPr>
        <w:t xml:space="preserve"> zusätzliche Beiträge zwischen 7.8 und 9.8 Mio. Franken in den Finanz- und Lastenausgleich einwerfen muss, wobei sie während den ersten 4 Jahren von eine</w:t>
      </w:r>
      <w:r w:rsidR="007A4B4B">
        <w:rPr>
          <w:rFonts w:ascii="Arial" w:hAnsi="Arial" w:cs="Arial"/>
          <w:bCs/>
          <w:sz w:val="22"/>
        </w:rPr>
        <w:t>r</w:t>
      </w:r>
      <w:r w:rsidR="00793AC4">
        <w:rPr>
          <w:rFonts w:ascii="Arial" w:hAnsi="Arial" w:cs="Arial"/>
          <w:bCs/>
          <w:sz w:val="22"/>
        </w:rPr>
        <w:t xml:space="preserve"> Härtefallregelung profitieren kann</w:t>
      </w:r>
      <w:r w:rsidR="005713FF">
        <w:rPr>
          <w:rFonts w:ascii="Arial" w:hAnsi="Arial" w:cs="Arial"/>
          <w:bCs/>
          <w:sz w:val="22"/>
        </w:rPr>
        <w:t>,</w:t>
      </w:r>
      <w:r w:rsidR="00793AC4">
        <w:rPr>
          <w:rFonts w:ascii="Arial" w:hAnsi="Arial" w:cs="Arial"/>
          <w:bCs/>
          <w:sz w:val="22"/>
        </w:rPr>
        <w:t xml:space="preserve"> welche die Mehrbelastung auf rund 4.2 Millionen beschränkt. Aber auch ohne die hohen Steueraufkommen wird die Stadt Olten immer noch zusätzlich rund 1.</w:t>
      </w:r>
      <w:r w:rsidR="009E1DB3">
        <w:rPr>
          <w:rFonts w:ascii="Arial" w:hAnsi="Arial" w:cs="Arial"/>
          <w:bCs/>
          <w:sz w:val="22"/>
        </w:rPr>
        <w:t>2</w:t>
      </w:r>
      <w:r w:rsidR="00793AC4">
        <w:rPr>
          <w:rFonts w:ascii="Arial" w:hAnsi="Arial" w:cs="Arial"/>
          <w:bCs/>
          <w:sz w:val="22"/>
        </w:rPr>
        <w:t xml:space="preserve"> – 1.9 Millionen Franken mehr in den Ausgleich einwerfen mü</w:t>
      </w:r>
      <w:r w:rsidR="00793AC4">
        <w:rPr>
          <w:rFonts w:ascii="Arial" w:hAnsi="Arial" w:cs="Arial"/>
          <w:bCs/>
          <w:sz w:val="22"/>
        </w:rPr>
        <w:t>s</w:t>
      </w:r>
      <w:r w:rsidR="00793AC4">
        <w:rPr>
          <w:rFonts w:ascii="Arial" w:hAnsi="Arial" w:cs="Arial"/>
          <w:bCs/>
          <w:sz w:val="22"/>
        </w:rPr>
        <w:t>sen</w:t>
      </w:r>
      <w:r w:rsidR="005713FF">
        <w:rPr>
          <w:rFonts w:ascii="Arial" w:hAnsi="Arial" w:cs="Arial"/>
          <w:bCs/>
          <w:sz w:val="22"/>
        </w:rPr>
        <w:t>.</w:t>
      </w:r>
      <w:r w:rsidR="00793AC4">
        <w:rPr>
          <w:rFonts w:ascii="Arial" w:hAnsi="Arial" w:cs="Arial"/>
          <w:bCs/>
          <w:sz w:val="22"/>
        </w:rPr>
        <w:t xml:space="preserve"> </w:t>
      </w:r>
      <w:r w:rsidR="005713FF">
        <w:rPr>
          <w:rFonts w:ascii="Arial" w:hAnsi="Arial" w:cs="Arial"/>
          <w:bCs/>
          <w:sz w:val="22"/>
        </w:rPr>
        <w:t xml:space="preserve">Bei </w:t>
      </w:r>
      <w:r>
        <w:rPr>
          <w:rFonts w:ascii="Arial" w:hAnsi="Arial" w:cs="Arial"/>
          <w:bCs/>
          <w:sz w:val="22"/>
        </w:rPr>
        <w:t xml:space="preserve">der Finanzplanung gehen wir </w:t>
      </w:r>
      <w:r w:rsidR="00DD73CA">
        <w:rPr>
          <w:rFonts w:ascii="Arial" w:hAnsi="Arial" w:cs="Arial"/>
          <w:bCs/>
          <w:sz w:val="22"/>
        </w:rPr>
        <w:t>zurzeit</w:t>
      </w:r>
      <w:r>
        <w:rPr>
          <w:rFonts w:ascii="Arial" w:hAnsi="Arial" w:cs="Arial"/>
          <w:bCs/>
          <w:sz w:val="22"/>
        </w:rPr>
        <w:t xml:space="preserve"> von einer Mehrbelastung von rund 1.25 Mio. Fra</w:t>
      </w:r>
      <w:r>
        <w:rPr>
          <w:rFonts w:ascii="Arial" w:hAnsi="Arial" w:cs="Arial"/>
          <w:bCs/>
          <w:sz w:val="22"/>
        </w:rPr>
        <w:t>n</w:t>
      </w:r>
      <w:r>
        <w:rPr>
          <w:rFonts w:ascii="Arial" w:hAnsi="Arial" w:cs="Arial"/>
          <w:bCs/>
          <w:sz w:val="22"/>
        </w:rPr>
        <w:t>ken aus.</w:t>
      </w:r>
    </w:p>
    <w:p w:rsidR="0097380E" w:rsidRDefault="0097380E">
      <w:pPr>
        <w:jc w:val="both"/>
        <w:rPr>
          <w:rFonts w:ascii="Arial" w:hAnsi="Arial" w:cs="Arial"/>
          <w:bCs/>
          <w:sz w:val="22"/>
        </w:rPr>
      </w:pPr>
    </w:p>
    <w:p w:rsidR="0097380E" w:rsidRDefault="0097380E">
      <w:pPr>
        <w:jc w:val="both"/>
        <w:rPr>
          <w:rFonts w:ascii="Arial" w:hAnsi="Arial" w:cs="Arial"/>
          <w:bCs/>
          <w:sz w:val="22"/>
        </w:rPr>
      </w:pPr>
      <w:r>
        <w:rPr>
          <w:rFonts w:ascii="Arial" w:hAnsi="Arial" w:cs="Arial"/>
          <w:bCs/>
          <w:sz w:val="22"/>
        </w:rPr>
        <w:t>Tabellarisch setzen sich die wichtigsten Veränderungen wie folgt zusammen:</w:t>
      </w:r>
    </w:p>
    <w:p w:rsidR="003D24A6" w:rsidRDefault="003D24A6">
      <w:pPr>
        <w:jc w:val="both"/>
        <w:rPr>
          <w:rFonts w:ascii="Arial" w:hAnsi="Arial" w:cs="Arial"/>
          <w:bCs/>
          <w:sz w:val="22"/>
        </w:rPr>
      </w:pPr>
    </w:p>
    <w:p w:rsidR="00FA512E" w:rsidRPr="001715B9" w:rsidRDefault="00FA512E">
      <w:pPr>
        <w:jc w:val="both"/>
        <w:rPr>
          <w:rFonts w:ascii="Arial" w:hAnsi="Arial" w:cs="Arial"/>
          <w:bCs/>
          <w:color w:val="FF0000"/>
          <w:sz w:val="22"/>
        </w:rPr>
      </w:pPr>
    </w:p>
    <w:tbl>
      <w:tblPr>
        <w:tblStyle w:val="HelleSchattierung1"/>
        <w:tblW w:w="9575" w:type="dxa"/>
        <w:tblLook w:val="04A0"/>
      </w:tblPr>
      <w:tblGrid>
        <w:gridCol w:w="2860"/>
        <w:gridCol w:w="959"/>
        <w:gridCol w:w="959"/>
        <w:gridCol w:w="959"/>
        <w:gridCol w:w="960"/>
        <w:gridCol w:w="959"/>
        <w:gridCol w:w="959"/>
        <w:gridCol w:w="960"/>
      </w:tblGrid>
      <w:tr w:rsidR="00FA512E" w:rsidRPr="005713FF" w:rsidTr="00306EFC">
        <w:trPr>
          <w:cnfStyle w:val="100000000000"/>
          <w:trHeight w:val="253"/>
        </w:trPr>
        <w:tc>
          <w:tcPr>
            <w:cnfStyle w:val="001000000000"/>
            <w:tcW w:w="2860" w:type="dxa"/>
          </w:tcPr>
          <w:p w:rsidR="00FA512E" w:rsidRPr="005713FF" w:rsidRDefault="00FA512E">
            <w:pPr>
              <w:jc w:val="both"/>
              <w:rPr>
                <w:rFonts w:ascii="Arial" w:hAnsi="Arial" w:cs="Arial"/>
                <w:bCs w:val="0"/>
                <w:color w:val="auto"/>
                <w:sz w:val="22"/>
              </w:rPr>
            </w:pPr>
            <w:r w:rsidRPr="005713FF">
              <w:rPr>
                <w:rFonts w:ascii="Arial" w:hAnsi="Arial" w:cs="Arial"/>
                <w:bCs w:val="0"/>
                <w:color w:val="auto"/>
                <w:sz w:val="22"/>
              </w:rPr>
              <w:t>Vorhaben</w:t>
            </w:r>
          </w:p>
        </w:tc>
        <w:tc>
          <w:tcPr>
            <w:tcW w:w="959" w:type="dxa"/>
          </w:tcPr>
          <w:p w:rsidR="00FA512E" w:rsidRPr="005713FF" w:rsidRDefault="00A9561F" w:rsidP="003D24A6">
            <w:pPr>
              <w:jc w:val="right"/>
              <w:cnfStyle w:val="100000000000"/>
              <w:rPr>
                <w:rFonts w:ascii="Arial" w:hAnsi="Arial" w:cs="Arial"/>
                <w:bCs w:val="0"/>
                <w:color w:val="auto"/>
                <w:sz w:val="22"/>
              </w:rPr>
            </w:pPr>
            <w:r w:rsidRPr="005713FF">
              <w:rPr>
                <w:rFonts w:ascii="Arial" w:hAnsi="Arial" w:cs="Arial"/>
                <w:bCs w:val="0"/>
                <w:color w:val="auto"/>
                <w:sz w:val="22"/>
              </w:rPr>
              <w:t>B</w:t>
            </w:r>
            <w:r w:rsidR="00FA512E" w:rsidRPr="005713FF">
              <w:rPr>
                <w:rFonts w:ascii="Arial" w:hAnsi="Arial" w:cs="Arial"/>
                <w:bCs w:val="0"/>
                <w:color w:val="auto"/>
                <w:sz w:val="22"/>
              </w:rPr>
              <w:t>2014</w:t>
            </w:r>
          </w:p>
        </w:tc>
        <w:tc>
          <w:tcPr>
            <w:tcW w:w="959"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F2015</w:t>
            </w:r>
          </w:p>
        </w:tc>
        <w:tc>
          <w:tcPr>
            <w:tcW w:w="959"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F2016</w:t>
            </w:r>
          </w:p>
        </w:tc>
        <w:tc>
          <w:tcPr>
            <w:tcW w:w="960"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F2017</w:t>
            </w:r>
          </w:p>
        </w:tc>
        <w:tc>
          <w:tcPr>
            <w:tcW w:w="959"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F2018</w:t>
            </w:r>
          </w:p>
        </w:tc>
        <w:tc>
          <w:tcPr>
            <w:tcW w:w="959"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F2019</w:t>
            </w:r>
          </w:p>
        </w:tc>
        <w:tc>
          <w:tcPr>
            <w:tcW w:w="960" w:type="dxa"/>
          </w:tcPr>
          <w:p w:rsidR="00FA512E" w:rsidRPr="005713FF" w:rsidRDefault="00FA512E" w:rsidP="003D24A6">
            <w:pPr>
              <w:jc w:val="right"/>
              <w:cnfStyle w:val="100000000000"/>
              <w:rPr>
                <w:rFonts w:ascii="Arial" w:hAnsi="Arial" w:cs="Arial"/>
                <w:bCs w:val="0"/>
                <w:color w:val="auto"/>
                <w:sz w:val="22"/>
              </w:rPr>
            </w:pPr>
            <w:r w:rsidRPr="005713FF">
              <w:rPr>
                <w:rFonts w:ascii="Arial" w:hAnsi="Arial" w:cs="Arial"/>
                <w:bCs w:val="0"/>
                <w:color w:val="auto"/>
                <w:sz w:val="22"/>
              </w:rPr>
              <w:t>F2020</w:t>
            </w:r>
          </w:p>
        </w:tc>
      </w:tr>
      <w:tr w:rsidR="00FA512E" w:rsidRPr="005713FF" w:rsidTr="00306EFC">
        <w:trPr>
          <w:cnfStyle w:val="000000100000"/>
          <w:trHeight w:val="253"/>
        </w:trPr>
        <w:tc>
          <w:tcPr>
            <w:cnfStyle w:val="001000000000"/>
            <w:tcW w:w="2860" w:type="dxa"/>
          </w:tcPr>
          <w:p w:rsidR="00FA512E" w:rsidRPr="005713FF" w:rsidRDefault="00FA512E" w:rsidP="00FA512E">
            <w:pPr>
              <w:rPr>
                <w:rFonts w:ascii="Arial" w:hAnsi="Arial" w:cs="Arial"/>
                <w:b w:val="0"/>
                <w:bCs w:val="0"/>
                <w:color w:val="auto"/>
                <w:sz w:val="22"/>
              </w:rPr>
            </w:pPr>
            <w:r w:rsidRPr="005713FF">
              <w:rPr>
                <w:rFonts w:ascii="Arial" w:hAnsi="Arial" w:cs="Arial"/>
                <w:b w:val="0"/>
                <w:bCs w:val="0"/>
                <w:color w:val="auto"/>
                <w:sz w:val="22"/>
              </w:rPr>
              <w:t>Wegfall HPS</w:t>
            </w:r>
          </w:p>
        </w:tc>
        <w:tc>
          <w:tcPr>
            <w:tcW w:w="959"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59"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59"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60"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59"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59"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c>
          <w:tcPr>
            <w:tcW w:w="960" w:type="dxa"/>
          </w:tcPr>
          <w:p w:rsidR="00FA512E" w:rsidRPr="005713FF" w:rsidRDefault="00FA512E" w:rsidP="00FA512E">
            <w:pPr>
              <w:jc w:val="right"/>
              <w:cnfStyle w:val="000000100000"/>
              <w:rPr>
                <w:rFonts w:ascii="Arial" w:hAnsi="Arial" w:cs="Arial"/>
                <w:bCs/>
                <w:color w:val="auto"/>
                <w:sz w:val="22"/>
              </w:rPr>
            </w:pPr>
            <w:r w:rsidRPr="005713FF">
              <w:rPr>
                <w:rFonts w:ascii="Arial" w:hAnsi="Arial" w:cs="Arial"/>
                <w:bCs/>
                <w:color w:val="auto"/>
                <w:sz w:val="22"/>
              </w:rPr>
              <w:t>-140</w:t>
            </w:r>
          </w:p>
        </w:tc>
      </w:tr>
      <w:tr w:rsidR="0097380E" w:rsidRPr="005713FF" w:rsidTr="00306EFC">
        <w:trPr>
          <w:trHeight w:val="253"/>
        </w:trPr>
        <w:tc>
          <w:tcPr>
            <w:cnfStyle w:val="001000000000"/>
            <w:tcW w:w="2860" w:type="dxa"/>
          </w:tcPr>
          <w:p w:rsidR="0097380E" w:rsidRPr="005713FF" w:rsidRDefault="00C27523" w:rsidP="00FA512E">
            <w:pPr>
              <w:rPr>
                <w:rFonts w:ascii="Arial" w:hAnsi="Arial" w:cs="Arial"/>
                <w:b w:val="0"/>
                <w:bCs w:val="0"/>
                <w:color w:val="auto"/>
                <w:sz w:val="22"/>
              </w:rPr>
            </w:pPr>
            <w:r w:rsidRPr="005713FF">
              <w:rPr>
                <w:rFonts w:ascii="Arial" w:hAnsi="Arial" w:cs="Arial"/>
                <w:b w:val="0"/>
                <w:bCs w:val="0"/>
                <w:color w:val="auto"/>
                <w:sz w:val="22"/>
              </w:rPr>
              <w:t>EP 2014 bewilligt</w:t>
            </w:r>
          </w:p>
        </w:tc>
        <w:tc>
          <w:tcPr>
            <w:tcW w:w="959" w:type="dxa"/>
          </w:tcPr>
          <w:p w:rsidR="0097380E" w:rsidRPr="005713FF" w:rsidRDefault="00C27523" w:rsidP="00FA512E">
            <w:pPr>
              <w:jc w:val="right"/>
              <w:cnfStyle w:val="000000000000"/>
              <w:rPr>
                <w:rFonts w:ascii="Arial" w:hAnsi="Arial" w:cs="Arial"/>
                <w:bCs/>
                <w:color w:val="auto"/>
                <w:sz w:val="22"/>
              </w:rPr>
            </w:pPr>
            <w:r w:rsidRPr="005713FF">
              <w:rPr>
                <w:rFonts w:ascii="Arial" w:hAnsi="Arial" w:cs="Arial"/>
                <w:bCs/>
                <w:color w:val="auto"/>
                <w:sz w:val="22"/>
              </w:rPr>
              <w:t>+1793</w:t>
            </w:r>
          </w:p>
        </w:tc>
        <w:tc>
          <w:tcPr>
            <w:tcW w:w="959"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+2589</w:t>
            </w:r>
          </w:p>
        </w:tc>
        <w:tc>
          <w:tcPr>
            <w:tcW w:w="959"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+3010</w:t>
            </w:r>
          </w:p>
        </w:tc>
        <w:tc>
          <w:tcPr>
            <w:tcW w:w="960"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+3067</w:t>
            </w:r>
          </w:p>
        </w:tc>
        <w:tc>
          <w:tcPr>
            <w:tcW w:w="959"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+3067</w:t>
            </w:r>
          </w:p>
        </w:tc>
        <w:tc>
          <w:tcPr>
            <w:tcW w:w="959"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+3067</w:t>
            </w:r>
          </w:p>
        </w:tc>
        <w:tc>
          <w:tcPr>
            <w:tcW w:w="960" w:type="dxa"/>
          </w:tcPr>
          <w:p w:rsidR="0097380E" w:rsidRPr="005713FF" w:rsidRDefault="00C27523" w:rsidP="001353EA">
            <w:pPr>
              <w:jc w:val="right"/>
              <w:cnfStyle w:val="000000000000"/>
              <w:rPr>
                <w:rFonts w:ascii="Arial" w:hAnsi="Arial" w:cs="Arial"/>
                <w:bCs/>
                <w:color w:val="auto"/>
                <w:sz w:val="22"/>
              </w:rPr>
            </w:pPr>
            <w:r w:rsidRPr="005713FF">
              <w:rPr>
                <w:rFonts w:ascii="Arial" w:hAnsi="Arial" w:cs="Arial"/>
                <w:bCs/>
                <w:color w:val="auto"/>
                <w:sz w:val="22"/>
              </w:rPr>
              <w:t>+3067</w:t>
            </w:r>
          </w:p>
        </w:tc>
      </w:tr>
      <w:tr w:rsidR="00FA512E" w:rsidRPr="005713FF" w:rsidTr="00306EFC">
        <w:trPr>
          <w:cnfStyle w:val="000000100000"/>
          <w:trHeight w:val="253"/>
        </w:trPr>
        <w:tc>
          <w:tcPr>
            <w:cnfStyle w:val="001000000000"/>
            <w:tcW w:w="2860" w:type="dxa"/>
          </w:tcPr>
          <w:p w:rsidR="00FA512E" w:rsidRPr="005713FF" w:rsidRDefault="00FA512E" w:rsidP="00FA512E">
            <w:pPr>
              <w:rPr>
                <w:rFonts w:ascii="Arial" w:hAnsi="Arial" w:cs="Arial"/>
                <w:b w:val="0"/>
                <w:bCs w:val="0"/>
                <w:color w:val="auto"/>
                <w:sz w:val="22"/>
              </w:rPr>
            </w:pPr>
            <w:r w:rsidRPr="005713FF">
              <w:rPr>
                <w:rFonts w:ascii="Arial" w:hAnsi="Arial" w:cs="Arial"/>
                <w:b w:val="0"/>
                <w:bCs w:val="0"/>
                <w:color w:val="auto"/>
                <w:sz w:val="22"/>
              </w:rPr>
              <w:t>Neukonz. Finanzausgleich</w:t>
            </w:r>
          </w:p>
        </w:tc>
        <w:tc>
          <w:tcPr>
            <w:tcW w:w="959" w:type="dxa"/>
          </w:tcPr>
          <w:p w:rsidR="00FA512E" w:rsidRPr="005713FF" w:rsidRDefault="00FA512E" w:rsidP="00FA512E">
            <w:pPr>
              <w:jc w:val="right"/>
              <w:cnfStyle w:val="000000100000"/>
              <w:rPr>
                <w:rFonts w:ascii="Arial" w:hAnsi="Arial" w:cs="Arial"/>
                <w:bCs/>
                <w:color w:val="auto"/>
                <w:sz w:val="22"/>
              </w:rPr>
            </w:pPr>
          </w:p>
        </w:tc>
        <w:tc>
          <w:tcPr>
            <w:tcW w:w="959"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c>
          <w:tcPr>
            <w:tcW w:w="959"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c>
          <w:tcPr>
            <w:tcW w:w="960"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3D24A6" w:rsidRPr="005713FF">
              <w:rPr>
                <w:rFonts w:ascii="Arial" w:hAnsi="Arial" w:cs="Arial"/>
                <w:bCs/>
                <w:color w:val="auto"/>
                <w:sz w:val="22"/>
              </w:rPr>
              <w:t>‘</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c>
          <w:tcPr>
            <w:tcW w:w="959"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3D24A6" w:rsidRPr="005713FF">
              <w:rPr>
                <w:rFonts w:ascii="Arial" w:hAnsi="Arial" w:cs="Arial"/>
                <w:bCs/>
                <w:color w:val="auto"/>
                <w:sz w:val="22"/>
              </w:rPr>
              <w:t>‘</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c>
          <w:tcPr>
            <w:tcW w:w="959"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3D24A6" w:rsidRPr="005713FF">
              <w:rPr>
                <w:rFonts w:ascii="Arial" w:hAnsi="Arial" w:cs="Arial"/>
                <w:bCs/>
                <w:color w:val="auto"/>
                <w:sz w:val="22"/>
              </w:rPr>
              <w:t>‘</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c>
          <w:tcPr>
            <w:tcW w:w="960" w:type="dxa"/>
          </w:tcPr>
          <w:p w:rsidR="00FA512E" w:rsidRPr="005713FF" w:rsidRDefault="00FA512E" w:rsidP="001353EA">
            <w:pPr>
              <w:jc w:val="right"/>
              <w:cnfStyle w:val="000000100000"/>
              <w:rPr>
                <w:rFonts w:ascii="Arial" w:hAnsi="Arial" w:cs="Arial"/>
                <w:bCs/>
                <w:color w:val="auto"/>
                <w:sz w:val="22"/>
              </w:rPr>
            </w:pPr>
            <w:r w:rsidRPr="005713FF">
              <w:rPr>
                <w:rFonts w:ascii="Arial" w:hAnsi="Arial" w:cs="Arial"/>
                <w:bCs/>
                <w:color w:val="auto"/>
                <w:sz w:val="22"/>
              </w:rPr>
              <w:t>-</w:t>
            </w:r>
            <w:r w:rsidR="00793AC4" w:rsidRPr="005713FF">
              <w:rPr>
                <w:rFonts w:ascii="Arial" w:hAnsi="Arial" w:cs="Arial"/>
                <w:bCs/>
                <w:color w:val="auto"/>
                <w:sz w:val="22"/>
              </w:rPr>
              <w:t>1</w:t>
            </w:r>
            <w:r w:rsidR="003D24A6" w:rsidRPr="005713FF">
              <w:rPr>
                <w:rFonts w:ascii="Arial" w:hAnsi="Arial" w:cs="Arial"/>
                <w:bCs/>
                <w:color w:val="auto"/>
                <w:sz w:val="22"/>
              </w:rPr>
              <w:t>‘</w:t>
            </w:r>
            <w:r w:rsidR="009E1DB3" w:rsidRPr="005713FF">
              <w:rPr>
                <w:rFonts w:ascii="Arial" w:hAnsi="Arial" w:cs="Arial"/>
                <w:bCs/>
                <w:color w:val="auto"/>
                <w:sz w:val="22"/>
              </w:rPr>
              <w:t>2</w:t>
            </w:r>
            <w:r w:rsidR="001353EA" w:rsidRPr="005713FF">
              <w:rPr>
                <w:rFonts w:ascii="Arial" w:hAnsi="Arial" w:cs="Arial"/>
                <w:bCs/>
                <w:color w:val="auto"/>
                <w:sz w:val="22"/>
              </w:rPr>
              <w:t>5</w:t>
            </w:r>
            <w:r w:rsidRPr="005713FF">
              <w:rPr>
                <w:rFonts w:ascii="Arial" w:hAnsi="Arial" w:cs="Arial"/>
                <w:bCs/>
                <w:color w:val="auto"/>
                <w:sz w:val="22"/>
              </w:rPr>
              <w:t>0</w:t>
            </w:r>
          </w:p>
        </w:tc>
      </w:tr>
      <w:tr w:rsidR="00FA512E" w:rsidRPr="005713FF" w:rsidTr="00306EFC">
        <w:trPr>
          <w:trHeight w:val="253"/>
        </w:trPr>
        <w:tc>
          <w:tcPr>
            <w:cnfStyle w:val="001000000000"/>
            <w:tcW w:w="2860" w:type="dxa"/>
          </w:tcPr>
          <w:p w:rsidR="00FA512E" w:rsidRPr="005713FF" w:rsidRDefault="00FA512E">
            <w:pPr>
              <w:jc w:val="both"/>
              <w:rPr>
                <w:rFonts w:ascii="Arial" w:hAnsi="Arial" w:cs="Arial"/>
                <w:b w:val="0"/>
                <w:bCs w:val="0"/>
                <w:color w:val="auto"/>
                <w:sz w:val="22"/>
              </w:rPr>
            </w:pPr>
            <w:r w:rsidRPr="005713FF">
              <w:rPr>
                <w:rFonts w:ascii="Arial" w:hAnsi="Arial" w:cs="Arial"/>
                <w:b w:val="0"/>
                <w:bCs w:val="0"/>
                <w:color w:val="auto"/>
                <w:sz w:val="22"/>
              </w:rPr>
              <w:t>Cultibo / Betrieb</w:t>
            </w:r>
          </w:p>
        </w:tc>
        <w:tc>
          <w:tcPr>
            <w:tcW w:w="959"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59"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59"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60"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59"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59"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c>
          <w:tcPr>
            <w:tcW w:w="960" w:type="dxa"/>
          </w:tcPr>
          <w:p w:rsidR="00FA512E" w:rsidRPr="005713FF" w:rsidRDefault="00FA512E" w:rsidP="00FA512E">
            <w:pPr>
              <w:jc w:val="right"/>
              <w:cnfStyle w:val="000000000000"/>
              <w:rPr>
                <w:rFonts w:ascii="Arial" w:hAnsi="Arial" w:cs="Arial"/>
                <w:bCs/>
                <w:color w:val="auto"/>
                <w:sz w:val="22"/>
              </w:rPr>
            </w:pPr>
            <w:r w:rsidRPr="005713FF">
              <w:rPr>
                <w:rFonts w:ascii="Arial" w:hAnsi="Arial" w:cs="Arial"/>
                <w:bCs/>
                <w:color w:val="auto"/>
                <w:sz w:val="22"/>
              </w:rPr>
              <w:t>-120</w:t>
            </w:r>
          </w:p>
        </w:tc>
      </w:tr>
      <w:tr w:rsidR="00A9561F" w:rsidRPr="005713FF" w:rsidTr="00306EFC">
        <w:trPr>
          <w:cnfStyle w:val="000000100000"/>
          <w:trHeight w:val="253"/>
        </w:trPr>
        <w:tc>
          <w:tcPr>
            <w:cnfStyle w:val="001000000000"/>
            <w:tcW w:w="2860" w:type="dxa"/>
          </w:tcPr>
          <w:p w:rsidR="00A9561F" w:rsidRPr="005713FF" w:rsidRDefault="00A9561F">
            <w:pPr>
              <w:jc w:val="both"/>
              <w:rPr>
                <w:rFonts w:ascii="Arial" w:hAnsi="Arial" w:cs="Arial"/>
                <w:b w:val="0"/>
                <w:bCs w:val="0"/>
                <w:color w:val="auto"/>
                <w:sz w:val="22"/>
              </w:rPr>
            </w:pPr>
            <w:r w:rsidRPr="005713FF">
              <w:rPr>
                <w:rFonts w:ascii="Arial" w:hAnsi="Arial" w:cs="Arial"/>
                <w:b w:val="0"/>
                <w:bCs w:val="0"/>
                <w:color w:val="auto"/>
                <w:sz w:val="22"/>
              </w:rPr>
              <w:t>Beiträge Gym / Progym</w:t>
            </w:r>
          </w:p>
        </w:tc>
        <w:tc>
          <w:tcPr>
            <w:tcW w:w="959" w:type="dxa"/>
          </w:tcPr>
          <w:p w:rsidR="00A9561F" w:rsidRPr="005713FF" w:rsidRDefault="00A9561F" w:rsidP="00FA512E">
            <w:pPr>
              <w:jc w:val="right"/>
              <w:cnfStyle w:val="000000100000"/>
              <w:rPr>
                <w:rFonts w:ascii="Arial" w:hAnsi="Arial" w:cs="Arial"/>
                <w:bCs/>
                <w:color w:val="auto"/>
                <w:sz w:val="22"/>
              </w:rPr>
            </w:pPr>
            <w:r w:rsidRPr="005713FF">
              <w:rPr>
                <w:rFonts w:ascii="Arial" w:hAnsi="Arial" w:cs="Arial"/>
                <w:bCs/>
                <w:color w:val="auto"/>
                <w:sz w:val="22"/>
              </w:rPr>
              <w:t>-500</w:t>
            </w:r>
          </w:p>
        </w:tc>
        <w:tc>
          <w:tcPr>
            <w:tcW w:w="959" w:type="dxa"/>
          </w:tcPr>
          <w:p w:rsidR="00A9561F" w:rsidRPr="005713FF" w:rsidRDefault="00A9561F" w:rsidP="00FA512E">
            <w:pPr>
              <w:jc w:val="right"/>
              <w:cnfStyle w:val="000000100000"/>
              <w:rPr>
                <w:rFonts w:ascii="Arial" w:hAnsi="Arial" w:cs="Arial"/>
                <w:bCs/>
                <w:color w:val="auto"/>
                <w:sz w:val="22"/>
              </w:rPr>
            </w:pPr>
            <w:r w:rsidRPr="005713FF">
              <w:rPr>
                <w:rFonts w:ascii="Arial" w:hAnsi="Arial" w:cs="Arial"/>
                <w:bCs/>
                <w:color w:val="auto"/>
                <w:sz w:val="22"/>
              </w:rPr>
              <w:t>-500</w:t>
            </w:r>
          </w:p>
        </w:tc>
        <w:tc>
          <w:tcPr>
            <w:tcW w:w="959" w:type="dxa"/>
          </w:tcPr>
          <w:p w:rsidR="00A9561F" w:rsidRPr="005713FF" w:rsidRDefault="00A9561F" w:rsidP="00FA512E">
            <w:pPr>
              <w:jc w:val="right"/>
              <w:cnfStyle w:val="000000100000"/>
              <w:rPr>
                <w:rFonts w:ascii="Arial" w:hAnsi="Arial" w:cs="Arial"/>
                <w:bCs/>
                <w:color w:val="auto"/>
                <w:sz w:val="22"/>
              </w:rPr>
            </w:pPr>
            <w:r w:rsidRPr="005713FF">
              <w:rPr>
                <w:rFonts w:ascii="Arial" w:hAnsi="Arial" w:cs="Arial"/>
                <w:bCs/>
                <w:color w:val="auto"/>
                <w:sz w:val="22"/>
              </w:rPr>
              <w:t>-500</w:t>
            </w:r>
          </w:p>
        </w:tc>
        <w:tc>
          <w:tcPr>
            <w:tcW w:w="960" w:type="dxa"/>
          </w:tcPr>
          <w:p w:rsidR="00A9561F" w:rsidRPr="005713FF" w:rsidRDefault="00A9561F" w:rsidP="00FA512E">
            <w:pPr>
              <w:jc w:val="right"/>
              <w:cnfStyle w:val="000000100000"/>
              <w:rPr>
                <w:rFonts w:ascii="Arial" w:hAnsi="Arial" w:cs="Arial"/>
                <w:bCs/>
                <w:color w:val="auto"/>
                <w:sz w:val="22"/>
              </w:rPr>
            </w:pPr>
            <w:r w:rsidRPr="005713FF">
              <w:rPr>
                <w:rFonts w:ascii="Arial" w:hAnsi="Arial" w:cs="Arial"/>
                <w:bCs/>
                <w:color w:val="auto"/>
                <w:sz w:val="22"/>
              </w:rPr>
              <w:t>-500</w:t>
            </w:r>
          </w:p>
        </w:tc>
        <w:tc>
          <w:tcPr>
            <w:tcW w:w="959" w:type="dxa"/>
          </w:tcPr>
          <w:p w:rsidR="00A9561F" w:rsidRPr="005713FF" w:rsidRDefault="00A9561F" w:rsidP="00FA512E">
            <w:pPr>
              <w:jc w:val="right"/>
              <w:cnfStyle w:val="000000100000"/>
              <w:rPr>
                <w:rFonts w:ascii="Arial" w:hAnsi="Arial" w:cs="Arial"/>
                <w:bCs/>
                <w:color w:val="auto"/>
                <w:sz w:val="22"/>
              </w:rPr>
            </w:pPr>
            <w:r w:rsidRPr="005713FF">
              <w:rPr>
                <w:rFonts w:ascii="Arial" w:hAnsi="Arial" w:cs="Arial"/>
                <w:bCs/>
                <w:color w:val="auto"/>
                <w:sz w:val="22"/>
              </w:rPr>
              <w:t>-500</w:t>
            </w:r>
          </w:p>
        </w:tc>
        <w:tc>
          <w:tcPr>
            <w:tcW w:w="959" w:type="dxa"/>
          </w:tcPr>
          <w:p w:rsidR="00A9561F" w:rsidRPr="005713FF" w:rsidRDefault="00915448" w:rsidP="00FA512E">
            <w:pPr>
              <w:jc w:val="right"/>
              <w:cnfStyle w:val="000000100000"/>
              <w:rPr>
                <w:rFonts w:ascii="Arial" w:hAnsi="Arial" w:cs="Arial"/>
                <w:bCs/>
                <w:color w:val="auto"/>
                <w:sz w:val="22"/>
              </w:rPr>
            </w:pPr>
            <w:r w:rsidRPr="005713FF">
              <w:rPr>
                <w:rFonts w:ascii="Arial" w:hAnsi="Arial" w:cs="Arial"/>
                <w:bCs/>
                <w:color w:val="auto"/>
                <w:sz w:val="22"/>
              </w:rPr>
              <w:t>-</w:t>
            </w:r>
            <w:r w:rsidR="00A9561F" w:rsidRPr="005713FF">
              <w:rPr>
                <w:rFonts w:ascii="Arial" w:hAnsi="Arial" w:cs="Arial"/>
                <w:bCs/>
                <w:color w:val="auto"/>
                <w:sz w:val="22"/>
              </w:rPr>
              <w:t>500</w:t>
            </w:r>
          </w:p>
        </w:tc>
        <w:tc>
          <w:tcPr>
            <w:tcW w:w="960" w:type="dxa"/>
          </w:tcPr>
          <w:p w:rsidR="00A9561F" w:rsidRPr="005713FF" w:rsidRDefault="00915448" w:rsidP="00FA512E">
            <w:pPr>
              <w:jc w:val="right"/>
              <w:cnfStyle w:val="000000100000"/>
              <w:rPr>
                <w:rFonts w:ascii="Arial" w:hAnsi="Arial" w:cs="Arial"/>
                <w:bCs/>
                <w:color w:val="auto"/>
                <w:sz w:val="22"/>
              </w:rPr>
            </w:pPr>
            <w:r w:rsidRPr="005713FF">
              <w:rPr>
                <w:rFonts w:ascii="Arial" w:hAnsi="Arial" w:cs="Arial"/>
                <w:bCs/>
                <w:color w:val="auto"/>
                <w:sz w:val="22"/>
              </w:rPr>
              <w:t>-</w:t>
            </w:r>
            <w:r w:rsidR="00A9561F" w:rsidRPr="005713FF">
              <w:rPr>
                <w:rFonts w:ascii="Arial" w:hAnsi="Arial" w:cs="Arial"/>
                <w:bCs/>
                <w:color w:val="auto"/>
                <w:sz w:val="22"/>
              </w:rPr>
              <w:t>500</w:t>
            </w:r>
          </w:p>
        </w:tc>
      </w:tr>
      <w:tr w:rsidR="00FA512E" w:rsidRPr="005713FF" w:rsidTr="00306EFC">
        <w:trPr>
          <w:trHeight w:val="253"/>
        </w:trPr>
        <w:tc>
          <w:tcPr>
            <w:cnfStyle w:val="001000000000"/>
            <w:tcW w:w="2860" w:type="dxa"/>
          </w:tcPr>
          <w:p w:rsidR="00FA512E" w:rsidRPr="005713FF" w:rsidRDefault="003D24A6">
            <w:pPr>
              <w:jc w:val="both"/>
              <w:rPr>
                <w:rFonts w:ascii="Arial" w:hAnsi="Arial" w:cs="Arial"/>
                <w:b w:val="0"/>
                <w:bCs w:val="0"/>
                <w:color w:val="auto"/>
                <w:sz w:val="22"/>
              </w:rPr>
            </w:pPr>
            <w:r w:rsidRPr="005713FF">
              <w:rPr>
                <w:rFonts w:ascii="Arial" w:hAnsi="Arial" w:cs="Arial"/>
                <w:b w:val="0"/>
                <w:bCs w:val="0"/>
                <w:color w:val="auto"/>
                <w:sz w:val="22"/>
              </w:rPr>
              <w:t>Rücktrittsalter Feuerwehr</w:t>
            </w:r>
          </w:p>
        </w:tc>
        <w:tc>
          <w:tcPr>
            <w:tcW w:w="959"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59"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59"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60"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59"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59"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c>
          <w:tcPr>
            <w:tcW w:w="960" w:type="dxa"/>
          </w:tcPr>
          <w:p w:rsidR="00FA512E" w:rsidRPr="005713FF" w:rsidRDefault="003D24A6" w:rsidP="00FA512E">
            <w:pPr>
              <w:jc w:val="right"/>
              <w:cnfStyle w:val="000000000000"/>
              <w:rPr>
                <w:rFonts w:ascii="Arial" w:hAnsi="Arial" w:cs="Arial"/>
                <w:bCs/>
                <w:color w:val="auto"/>
                <w:sz w:val="22"/>
              </w:rPr>
            </w:pPr>
            <w:r w:rsidRPr="005713FF">
              <w:rPr>
                <w:rFonts w:ascii="Arial" w:hAnsi="Arial" w:cs="Arial"/>
                <w:bCs/>
                <w:color w:val="auto"/>
                <w:sz w:val="22"/>
              </w:rPr>
              <w:t>+93</w:t>
            </w:r>
          </w:p>
        </w:tc>
      </w:tr>
    </w:tbl>
    <w:p w:rsidR="00FA512E" w:rsidRPr="005713FF" w:rsidRDefault="005713FF">
      <w:pPr>
        <w:jc w:val="both"/>
        <w:rPr>
          <w:rFonts w:ascii="Arial" w:hAnsi="Arial" w:cs="Arial"/>
          <w:bCs/>
          <w:i/>
          <w:sz w:val="16"/>
          <w:szCs w:val="16"/>
        </w:rPr>
      </w:pPr>
      <w:r w:rsidRPr="005713FF">
        <w:rPr>
          <w:rFonts w:ascii="Arial" w:hAnsi="Arial" w:cs="Arial"/>
          <w:bCs/>
          <w:i/>
          <w:sz w:val="16"/>
          <w:szCs w:val="16"/>
        </w:rPr>
        <w:t>(- Mehrbelastung;+ Minderbelastung)</w:t>
      </w:r>
    </w:p>
    <w:p w:rsidR="00B75CDD" w:rsidRDefault="00B75CDD">
      <w:pPr>
        <w:jc w:val="both"/>
        <w:rPr>
          <w:rFonts w:ascii="Arial" w:hAnsi="Arial" w:cs="Arial"/>
          <w:b/>
          <w:bCs/>
          <w:sz w:val="22"/>
        </w:rPr>
      </w:pPr>
    </w:p>
    <w:p w:rsidR="00B75CDD" w:rsidRDefault="00B75CDD" w:rsidP="00485065">
      <w:pPr>
        <w:numPr>
          <w:ilvl w:val="1"/>
          <w:numId w:val="2"/>
        </w:numPr>
        <w:jc w:val="both"/>
        <w:rPr>
          <w:rFonts w:ascii="Arial" w:hAnsi="Arial" w:cs="Arial"/>
          <w:b/>
          <w:bCs/>
          <w:sz w:val="22"/>
        </w:rPr>
      </w:pPr>
      <w:r>
        <w:rPr>
          <w:rFonts w:ascii="Arial" w:hAnsi="Arial" w:cs="Arial"/>
          <w:b/>
          <w:bCs/>
          <w:sz w:val="22"/>
        </w:rPr>
        <w:t>Investitionsplan</w:t>
      </w:r>
      <w:r w:rsidR="007E4F5C">
        <w:rPr>
          <w:rFonts w:ascii="Arial" w:hAnsi="Arial" w:cs="Arial"/>
          <w:b/>
          <w:bCs/>
          <w:sz w:val="22"/>
        </w:rPr>
        <w:br/>
      </w:r>
    </w:p>
    <w:p w:rsidR="00A82500" w:rsidRDefault="00A82500">
      <w:pPr>
        <w:jc w:val="both"/>
        <w:rPr>
          <w:rFonts w:ascii="Arial" w:hAnsi="Arial" w:cs="Arial"/>
          <w:sz w:val="22"/>
        </w:rPr>
      </w:pPr>
      <w:r>
        <w:rPr>
          <w:rFonts w:ascii="Arial" w:hAnsi="Arial" w:cs="Arial"/>
          <w:sz w:val="22"/>
        </w:rPr>
        <w:t xml:space="preserve">Im </w:t>
      </w:r>
      <w:r>
        <w:rPr>
          <w:rFonts w:ascii="Arial" w:hAnsi="Arial" w:cs="Arial"/>
          <w:b/>
          <w:bCs/>
          <w:sz w:val="22"/>
        </w:rPr>
        <w:t>Investitions</w:t>
      </w:r>
      <w:r w:rsidR="00B75CDD">
        <w:rPr>
          <w:rFonts w:ascii="Arial" w:hAnsi="Arial" w:cs="Arial"/>
          <w:b/>
          <w:bCs/>
          <w:sz w:val="22"/>
        </w:rPr>
        <w:t>programm</w:t>
      </w:r>
      <w:r>
        <w:rPr>
          <w:rFonts w:ascii="Arial" w:hAnsi="Arial" w:cs="Arial"/>
          <w:sz w:val="22"/>
        </w:rPr>
        <w:t xml:space="preserve"> sind die vorgesehenen Bauprojekte aufgeführt und deren Ausgaben auf die einzelnen Planjahre verteilt. Sie sind den</w:t>
      </w:r>
      <w:r w:rsidR="006D090B">
        <w:rPr>
          <w:rFonts w:ascii="Arial" w:hAnsi="Arial" w:cs="Arial"/>
          <w:sz w:val="22"/>
        </w:rPr>
        <w:t xml:space="preserve"> folgenden Kriterien zugeordnet (aktuelle Pr</w:t>
      </w:r>
      <w:r w:rsidR="006D090B">
        <w:rPr>
          <w:rFonts w:ascii="Arial" w:hAnsi="Arial" w:cs="Arial"/>
          <w:sz w:val="22"/>
        </w:rPr>
        <w:t>o</w:t>
      </w:r>
      <w:r w:rsidR="006D090B">
        <w:rPr>
          <w:rFonts w:ascii="Arial" w:hAnsi="Arial" w:cs="Arial"/>
          <w:sz w:val="22"/>
        </w:rPr>
        <w:t xml:space="preserve">zentanteile siehe Seite </w:t>
      </w:r>
      <w:r w:rsidR="009C10B8">
        <w:rPr>
          <w:rFonts w:ascii="Arial" w:hAnsi="Arial" w:cs="Arial"/>
          <w:sz w:val="22"/>
        </w:rPr>
        <w:t>9</w:t>
      </w:r>
      <w:r w:rsidR="006D090B">
        <w:rPr>
          <w:rFonts w:ascii="Arial" w:hAnsi="Arial" w:cs="Arial"/>
          <w:sz w:val="22"/>
        </w:rPr>
        <w:t>):</w:t>
      </w:r>
    </w:p>
    <w:p w:rsidR="00A82500" w:rsidRDefault="00A82500">
      <w:pPr>
        <w:jc w:val="both"/>
        <w:rPr>
          <w:rFonts w:ascii="Arial" w:hAnsi="Arial" w:cs="Arial"/>
          <w:sz w:val="22"/>
        </w:rPr>
      </w:pPr>
    </w:p>
    <w:tbl>
      <w:tblPr>
        <w:tblW w:w="0" w:type="auto"/>
        <w:tblBorders>
          <w:top w:val="single" w:sz="8" w:space="0" w:color="000000"/>
          <w:bottom w:val="single" w:sz="8" w:space="0" w:color="000000"/>
        </w:tblBorders>
        <w:tblLook w:val="04A0"/>
      </w:tblPr>
      <w:tblGrid>
        <w:gridCol w:w="426"/>
        <w:gridCol w:w="5211"/>
      </w:tblGrid>
      <w:tr w:rsidR="008461F9" w:rsidRPr="00D4767C" w:rsidTr="00C0329D">
        <w:tc>
          <w:tcPr>
            <w:tcW w:w="426" w:type="dxa"/>
            <w:tcBorders>
              <w:top w:val="single" w:sz="8" w:space="0" w:color="000000"/>
              <w:left w:val="nil"/>
              <w:bottom w:val="nil"/>
              <w:right w:val="nil"/>
            </w:tcBorders>
          </w:tcPr>
          <w:p w:rsidR="008461F9" w:rsidRPr="00D4767C" w:rsidRDefault="008461F9" w:rsidP="00485065">
            <w:pPr>
              <w:jc w:val="both"/>
              <w:rPr>
                <w:rFonts w:ascii="Arial" w:hAnsi="Arial" w:cs="Arial"/>
                <w:bCs/>
                <w:color w:val="000000"/>
                <w:sz w:val="22"/>
              </w:rPr>
            </w:pPr>
            <w:r w:rsidRPr="00D4767C">
              <w:rPr>
                <w:rFonts w:ascii="Arial" w:hAnsi="Arial" w:cs="Arial"/>
                <w:bCs/>
                <w:color w:val="000000"/>
                <w:sz w:val="22"/>
              </w:rPr>
              <w:t xml:space="preserve">A  </w:t>
            </w:r>
          </w:p>
        </w:tc>
        <w:tc>
          <w:tcPr>
            <w:tcW w:w="5211" w:type="dxa"/>
            <w:tcBorders>
              <w:top w:val="single" w:sz="8" w:space="0" w:color="000000"/>
              <w:left w:val="nil"/>
              <w:bottom w:val="nil"/>
              <w:right w:val="nil"/>
            </w:tcBorders>
          </w:tcPr>
          <w:p w:rsidR="008461F9" w:rsidRPr="00D4767C" w:rsidRDefault="008461F9" w:rsidP="00485065">
            <w:pPr>
              <w:jc w:val="both"/>
              <w:rPr>
                <w:rFonts w:ascii="Arial" w:hAnsi="Arial" w:cs="Arial"/>
                <w:bCs/>
                <w:color w:val="000000"/>
                <w:sz w:val="22"/>
              </w:rPr>
            </w:pPr>
            <w:r w:rsidRPr="00D4767C">
              <w:rPr>
                <w:rFonts w:ascii="Arial" w:hAnsi="Arial" w:cs="Arial"/>
                <w:bCs/>
                <w:color w:val="000000"/>
                <w:sz w:val="22"/>
              </w:rPr>
              <w:t>Werterhalt und ausserordentliche Investitionen</w:t>
            </w:r>
          </w:p>
        </w:tc>
      </w:tr>
      <w:tr w:rsidR="008461F9" w:rsidRPr="00485065" w:rsidTr="00C0329D">
        <w:tc>
          <w:tcPr>
            <w:tcW w:w="426" w:type="dxa"/>
            <w:tcBorders>
              <w:top w:val="nil"/>
              <w:left w:val="nil"/>
              <w:right w:val="nil"/>
            </w:tcBorders>
            <w:shd w:val="clear" w:color="auto" w:fill="C0C0C0"/>
          </w:tcPr>
          <w:p w:rsidR="008461F9" w:rsidRPr="00485065" w:rsidRDefault="008461F9" w:rsidP="00485065">
            <w:pPr>
              <w:jc w:val="both"/>
              <w:rPr>
                <w:rFonts w:ascii="Arial" w:hAnsi="Arial" w:cs="Arial"/>
                <w:bCs/>
                <w:color w:val="000000"/>
                <w:sz w:val="22"/>
              </w:rPr>
            </w:pPr>
            <w:r w:rsidRPr="00485065">
              <w:rPr>
                <w:rFonts w:ascii="Arial" w:hAnsi="Arial" w:cs="Arial"/>
                <w:bCs/>
                <w:color w:val="000000"/>
                <w:sz w:val="22"/>
              </w:rPr>
              <w:t xml:space="preserve">B  </w:t>
            </w:r>
          </w:p>
        </w:tc>
        <w:tc>
          <w:tcPr>
            <w:tcW w:w="5211" w:type="dxa"/>
            <w:tcBorders>
              <w:top w:val="nil"/>
              <w:left w:val="nil"/>
              <w:right w:val="nil"/>
            </w:tcBorders>
            <w:shd w:val="clear" w:color="auto" w:fill="C0C0C0"/>
          </w:tcPr>
          <w:p w:rsidR="008461F9" w:rsidRPr="00485065" w:rsidRDefault="008461F9" w:rsidP="00485065">
            <w:pPr>
              <w:jc w:val="both"/>
              <w:rPr>
                <w:rFonts w:ascii="Arial" w:hAnsi="Arial" w:cs="Arial"/>
                <w:color w:val="000000"/>
                <w:sz w:val="22"/>
              </w:rPr>
            </w:pPr>
            <w:r w:rsidRPr="00485065">
              <w:rPr>
                <w:rFonts w:ascii="Arial" w:hAnsi="Arial" w:cs="Arial"/>
                <w:color w:val="000000"/>
                <w:sz w:val="22"/>
              </w:rPr>
              <w:t xml:space="preserve">Entwicklungsinvestitionen </w:t>
            </w:r>
          </w:p>
        </w:tc>
      </w:tr>
      <w:tr w:rsidR="008461F9" w:rsidRPr="00485065" w:rsidTr="00485065">
        <w:tc>
          <w:tcPr>
            <w:tcW w:w="426" w:type="dxa"/>
          </w:tcPr>
          <w:p w:rsidR="008461F9" w:rsidRPr="00485065" w:rsidRDefault="008461F9" w:rsidP="00485065">
            <w:pPr>
              <w:jc w:val="both"/>
              <w:rPr>
                <w:rFonts w:ascii="Arial" w:hAnsi="Arial" w:cs="Arial"/>
                <w:bCs/>
                <w:color w:val="000000"/>
                <w:sz w:val="22"/>
              </w:rPr>
            </w:pPr>
            <w:r w:rsidRPr="00485065">
              <w:rPr>
                <w:rFonts w:ascii="Arial" w:hAnsi="Arial" w:cs="Arial"/>
                <w:bCs/>
                <w:color w:val="000000"/>
                <w:sz w:val="22"/>
              </w:rPr>
              <w:t xml:space="preserve">C  </w:t>
            </w:r>
          </w:p>
        </w:tc>
        <w:tc>
          <w:tcPr>
            <w:tcW w:w="5211" w:type="dxa"/>
          </w:tcPr>
          <w:p w:rsidR="008461F9" w:rsidRPr="00485065" w:rsidRDefault="008461F9" w:rsidP="00485065">
            <w:pPr>
              <w:jc w:val="both"/>
              <w:rPr>
                <w:rFonts w:ascii="Arial" w:hAnsi="Arial" w:cs="Arial"/>
                <w:color w:val="000000"/>
                <w:sz w:val="22"/>
              </w:rPr>
            </w:pPr>
            <w:r w:rsidRPr="00485065">
              <w:rPr>
                <w:rFonts w:ascii="Arial" w:hAnsi="Arial" w:cs="Arial"/>
                <w:color w:val="000000"/>
                <w:sz w:val="22"/>
              </w:rPr>
              <w:t>Investitionsbeiträge an Kanton</w:t>
            </w:r>
          </w:p>
        </w:tc>
      </w:tr>
      <w:tr w:rsidR="008A2B56" w:rsidRPr="00485065" w:rsidTr="008A2B56">
        <w:tc>
          <w:tcPr>
            <w:tcW w:w="426" w:type="dxa"/>
            <w:tcBorders>
              <w:left w:val="nil"/>
              <w:bottom w:val="nil"/>
              <w:right w:val="nil"/>
            </w:tcBorders>
            <w:shd w:val="clear" w:color="auto" w:fill="C0C0C0"/>
          </w:tcPr>
          <w:p w:rsidR="008A2B56" w:rsidRDefault="008A2B56" w:rsidP="00485065">
            <w:pPr>
              <w:jc w:val="both"/>
              <w:rPr>
                <w:rFonts w:ascii="Arial" w:hAnsi="Arial" w:cs="Arial"/>
                <w:bCs/>
                <w:color w:val="000000"/>
                <w:sz w:val="22"/>
              </w:rPr>
            </w:pPr>
            <w:r>
              <w:rPr>
                <w:rFonts w:ascii="Arial" w:hAnsi="Arial" w:cs="Arial"/>
                <w:bCs/>
                <w:color w:val="000000"/>
                <w:sz w:val="22"/>
              </w:rPr>
              <w:t>D</w:t>
            </w:r>
          </w:p>
        </w:tc>
        <w:tc>
          <w:tcPr>
            <w:tcW w:w="5211" w:type="dxa"/>
            <w:tcBorders>
              <w:left w:val="nil"/>
              <w:bottom w:val="nil"/>
              <w:right w:val="nil"/>
            </w:tcBorders>
            <w:shd w:val="clear" w:color="auto" w:fill="C0C0C0"/>
          </w:tcPr>
          <w:p w:rsidR="008A2B56" w:rsidRPr="00485065" w:rsidRDefault="008A2B56" w:rsidP="00485065">
            <w:pPr>
              <w:jc w:val="both"/>
              <w:rPr>
                <w:rFonts w:ascii="Arial" w:hAnsi="Arial" w:cs="Arial"/>
                <w:color w:val="000000"/>
                <w:sz w:val="22"/>
              </w:rPr>
            </w:pPr>
            <w:r>
              <w:rPr>
                <w:rFonts w:ascii="Arial" w:hAnsi="Arial" w:cs="Arial"/>
                <w:color w:val="000000"/>
                <w:sz w:val="22"/>
              </w:rPr>
              <w:t>Desinvestitionen</w:t>
            </w:r>
          </w:p>
        </w:tc>
      </w:tr>
      <w:tr w:rsidR="008461F9" w:rsidRPr="00485065" w:rsidTr="008E5C01">
        <w:tc>
          <w:tcPr>
            <w:tcW w:w="426" w:type="dxa"/>
            <w:tcBorders>
              <w:top w:val="nil"/>
              <w:left w:val="nil"/>
              <w:bottom w:val="single" w:sz="8" w:space="0" w:color="000000"/>
              <w:right w:val="nil"/>
            </w:tcBorders>
            <w:shd w:val="clear" w:color="auto" w:fill="FFFFFF"/>
          </w:tcPr>
          <w:p w:rsidR="008461F9" w:rsidRPr="008A2B56" w:rsidRDefault="008A2B56" w:rsidP="00485065">
            <w:pPr>
              <w:jc w:val="both"/>
              <w:rPr>
                <w:rFonts w:ascii="Arial" w:hAnsi="Arial" w:cs="Arial"/>
                <w:bCs/>
                <w:color w:val="000000"/>
                <w:sz w:val="22"/>
              </w:rPr>
            </w:pPr>
            <w:r w:rsidRPr="008A2B56">
              <w:rPr>
                <w:rFonts w:ascii="Arial" w:hAnsi="Arial" w:cs="Arial"/>
                <w:bCs/>
                <w:color w:val="000000"/>
                <w:sz w:val="22"/>
              </w:rPr>
              <w:t>E</w:t>
            </w:r>
            <w:r w:rsidR="008461F9" w:rsidRPr="008A2B56">
              <w:rPr>
                <w:rFonts w:ascii="Arial" w:hAnsi="Arial" w:cs="Arial"/>
                <w:bCs/>
                <w:color w:val="000000"/>
                <w:sz w:val="22"/>
              </w:rPr>
              <w:t xml:space="preserve">  </w:t>
            </w:r>
          </w:p>
        </w:tc>
        <w:tc>
          <w:tcPr>
            <w:tcW w:w="5211" w:type="dxa"/>
            <w:tcBorders>
              <w:top w:val="nil"/>
              <w:left w:val="nil"/>
              <w:bottom w:val="single" w:sz="8" w:space="0" w:color="000000"/>
              <w:right w:val="nil"/>
            </w:tcBorders>
            <w:shd w:val="clear" w:color="auto" w:fill="FFFFFF"/>
          </w:tcPr>
          <w:p w:rsidR="008461F9" w:rsidRPr="00485065" w:rsidRDefault="008461F9" w:rsidP="00485065">
            <w:pPr>
              <w:jc w:val="both"/>
              <w:rPr>
                <w:rFonts w:ascii="Arial" w:hAnsi="Arial" w:cs="Arial"/>
                <w:color w:val="000000"/>
                <w:sz w:val="22"/>
              </w:rPr>
            </w:pPr>
            <w:r w:rsidRPr="008A2B56">
              <w:rPr>
                <w:rFonts w:ascii="Arial" w:hAnsi="Arial" w:cs="Arial"/>
                <w:color w:val="000000"/>
                <w:sz w:val="22"/>
              </w:rPr>
              <w:t>Investitionsbeiträge mit Spezialfinanzierungen</w:t>
            </w:r>
          </w:p>
        </w:tc>
      </w:tr>
    </w:tbl>
    <w:p w:rsidR="00A82500" w:rsidRDefault="00A82500">
      <w:pPr>
        <w:jc w:val="both"/>
        <w:rPr>
          <w:rFonts w:ascii="Arial" w:hAnsi="Arial" w:cs="Arial"/>
          <w:sz w:val="22"/>
        </w:rPr>
      </w:pPr>
    </w:p>
    <w:p w:rsidR="00A82500" w:rsidRDefault="00A82500">
      <w:pPr>
        <w:jc w:val="both"/>
        <w:rPr>
          <w:rFonts w:ascii="Arial" w:hAnsi="Arial" w:cs="Arial"/>
          <w:sz w:val="22"/>
        </w:rPr>
      </w:pPr>
      <w:r>
        <w:rPr>
          <w:rFonts w:ascii="Arial" w:hAnsi="Arial" w:cs="Arial"/>
          <w:sz w:val="22"/>
        </w:rPr>
        <w:t>Eine absolute Zuweisung ist nicht immer o</w:t>
      </w:r>
      <w:r w:rsidR="00B75CDD">
        <w:rPr>
          <w:rFonts w:ascii="Arial" w:hAnsi="Arial" w:cs="Arial"/>
          <w:sz w:val="22"/>
        </w:rPr>
        <w:t xml:space="preserve">hne weiteres möglich. So beinhalten beispielsweise </w:t>
      </w:r>
      <w:r>
        <w:rPr>
          <w:rFonts w:ascii="Arial" w:hAnsi="Arial" w:cs="Arial"/>
          <w:sz w:val="22"/>
        </w:rPr>
        <w:t xml:space="preserve">Entwicklungsinvestitionen </w:t>
      </w:r>
      <w:r w:rsidR="00B75CDD">
        <w:rPr>
          <w:rFonts w:ascii="Arial" w:hAnsi="Arial" w:cs="Arial"/>
          <w:sz w:val="22"/>
        </w:rPr>
        <w:t xml:space="preserve">häufig </w:t>
      </w:r>
      <w:r>
        <w:rPr>
          <w:rFonts w:ascii="Arial" w:hAnsi="Arial" w:cs="Arial"/>
          <w:sz w:val="22"/>
        </w:rPr>
        <w:t xml:space="preserve">auch einen </w:t>
      </w:r>
      <w:r w:rsidR="00B75CDD">
        <w:rPr>
          <w:rFonts w:ascii="Arial" w:hAnsi="Arial" w:cs="Arial"/>
          <w:sz w:val="22"/>
        </w:rPr>
        <w:t>Teil Werterhalt.</w:t>
      </w:r>
    </w:p>
    <w:p w:rsidR="00B75CDD" w:rsidRDefault="00A82500">
      <w:pPr>
        <w:jc w:val="both"/>
        <w:rPr>
          <w:rFonts w:ascii="Arial" w:hAnsi="Arial" w:cs="Arial"/>
          <w:sz w:val="22"/>
        </w:rPr>
      </w:pPr>
      <w:r>
        <w:rPr>
          <w:rFonts w:ascii="Arial" w:hAnsi="Arial" w:cs="Arial"/>
          <w:sz w:val="22"/>
        </w:rPr>
        <w:t xml:space="preserve"> </w:t>
      </w:r>
    </w:p>
    <w:p w:rsidR="008734BC" w:rsidRDefault="008734BC">
      <w:pPr>
        <w:jc w:val="both"/>
        <w:rPr>
          <w:rFonts w:ascii="Arial" w:hAnsi="Arial" w:cs="Arial"/>
          <w:sz w:val="22"/>
        </w:rPr>
      </w:pPr>
    </w:p>
    <w:p w:rsidR="00B75CDD" w:rsidRPr="007E4F5C" w:rsidRDefault="00B75CDD">
      <w:pPr>
        <w:jc w:val="both"/>
        <w:rPr>
          <w:rFonts w:ascii="Arial" w:hAnsi="Arial" w:cs="Arial"/>
          <w:b/>
          <w:sz w:val="22"/>
        </w:rPr>
      </w:pPr>
      <w:r w:rsidRPr="007E4F5C">
        <w:rPr>
          <w:rFonts w:ascii="Arial" w:hAnsi="Arial" w:cs="Arial"/>
          <w:b/>
          <w:sz w:val="22"/>
        </w:rPr>
        <w:t>1.3</w:t>
      </w:r>
      <w:r w:rsidR="007E4F5C" w:rsidRPr="007E4F5C">
        <w:rPr>
          <w:rFonts w:ascii="Arial" w:hAnsi="Arial" w:cs="Arial"/>
          <w:b/>
          <w:sz w:val="22"/>
        </w:rPr>
        <w:t xml:space="preserve"> Projektbeschri</w:t>
      </w:r>
      <w:r w:rsidRPr="007E4F5C">
        <w:rPr>
          <w:rFonts w:ascii="Arial" w:hAnsi="Arial" w:cs="Arial"/>
          <w:b/>
          <w:sz w:val="22"/>
        </w:rPr>
        <w:t>ebe</w:t>
      </w:r>
      <w:r w:rsidR="007E4F5C">
        <w:rPr>
          <w:rFonts w:ascii="Arial" w:hAnsi="Arial" w:cs="Arial"/>
          <w:b/>
          <w:sz w:val="22"/>
        </w:rPr>
        <w:br/>
      </w:r>
    </w:p>
    <w:p w:rsidR="00A82500" w:rsidRDefault="00A82500">
      <w:pPr>
        <w:jc w:val="both"/>
        <w:rPr>
          <w:rFonts w:ascii="Arial" w:hAnsi="Arial" w:cs="Arial"/>
          <w:sz w:val="22"/>
        </w:rPr>
      </w:pPr>
      <w:r>
        <w:rPr>
          <w:rFonts w:ascii="Arial" w:hAnsi="Arial" w:cs="Arial"/>
          <w:sz w:val="22"/>
        </w:rPr>
        <w:t>Der Beilage</w:t>
      </w:r>
      <w:r w:rsidR="008461F9">
        <w:rPr>
          <w:rFonts w:ascii="Arial" w:hAnsi="Arial" w:cs="Arial"/>
          <w:sz w:val="22"/>
        </w:rPr>
        <w:t>n</w:t>
      </w:r>
      <w:r>
        <w:rPr>
          <w:rFonts w:ascii="Arial" w:hAnsi="Arial" w:cs="Arial"/>
          <w:sz w:val="22"/>
        </w:rPr>
        <w:t>teil enthält</w:t>
      </w:r>
      <w:r w:rsidR="00D25FC1">
        <w:rPr>
          <w:rFonts w:ascii="Arial" w:hAnsi="Arial" w:cs="Arial"/>
          <w:sz w:val="22"/>
        </w:rPr>
        <w:t xml:space="preserve"> - nebst den finanzpolitischen Grundsätzen des </w:t>
      </w:r>
      <w:r w:rsidR="00307F18">
        <w:rPr>
          <w:rFonts w:ascii="Arial" w:hAnsi="Arial" w:cs="Arial"/>
          <w:sz w:val="22"/>
        </w:rPr>
        <w:t>Stadtrats</w:t>
      </w:r>
      <w:r w:rsidR="00D25FC1">
        <w:rPr>
          <w:rFonts w:ascii="Arial" w:hAnsi="Arial" w:cs="Arial"/>
          <w:sz w:val="22"/>
        </w:rPr>
        <w:t xml:space="preserve"> – alle </w:t>
      </w:r>
      <w:r>
        <w:rPr>
          <w:rFonts w:ascii="Arial" w:hAnsi="Arial" w:cs="Arial"/>
          <w:b/>
          <w:bCs/>
          <w:sz w:val="22"/>
        </w:rPr>
        <w:t>Projek</w:t>
      </w:r>
      <w:r>
        <w:rPr>
          <w:rFonts w:ascii="Arial" w:hAnsi="Arial" w:cs="Arial"/>
          <w:b/>
          <w:bCs/>
          <w:sz w:val="22"/>
        </w:rPr>
        <w:t>t</w:t>
      </w:r>
      <w:r>
        <w:rPr>
          <w:rFonts w:ascii="Arial" w:hAnsi="Arial" w:cs="Arial"/>
          <w:b/>
          <w:bCs/>
          <w:sz w:val="22"/>
        </w:rPr>
        <w:t>beschriebe</w:t>
      </w:r>
      <w:r>
        <w:rPr>
          <w:rFonts w:ascii="Arial" w:hAnsi="Arial" w:cs="Arial"/>
          <w:sz w:val="22"/>
        </w:rPr>
        <w:t xml:space="preserve"> mit relevanten Angaben zu den geplanten Investitionsprojekten. Die Reihenfolge entspricht dem Investitionsplan.  </w:t>
      </w:r>
    </w:p>
    <w:p w:rsidR="00A82500" w:rsidRDefault="00A82500">
      <w:pPr>
        <w:jc w:val="both"/>
        <w:rPr>
          <w:rFonts w:ascii="Arial" w:hAnsi="Arial" w:cs="Arial"/>
          <w:sz w:val="22"/>
        </w:rPr>
      </w:pPr>
    </w:p>
    <w:p w:rsidR="006500AB" w:rsidRDefault="006500AB">
      <w:pPr>
        <w:jc w:val="both"/>
        <w:rPr>
          <w:rFonts w:ascii="Arial" w:hAnsi="Arial" w:cs="Arial"/>
          <w:sz w:val="22"/>
        </w:rPr>
      </w:pPr>
    </w:p>
    <w:p w:rsidR="0097380E" w:rsidRDefault="0097380E">
      <w:pPr>
        <w:jc w:val="both"/>
        <w:rPr>
          <w:rFonts w:ascii="Arial" w:hAnsi="Arial" w:cs="Arial"/>
          <w:sz w:val="22"/>
        </w:rPr>
      </w:pPr>
    </w:p>
    <w:p w:rsidR="0097380E" w:rsidRDefault="0097380E">
      <w:pPr>
        <w:jc w:val="both"/>
        <w:rPr>
          <w:rFonts w:ascii="Arial" w:hAnsi="Arial" w:cs="Arial"/>
          <w:sz w:val="22"/>
        </w:rPr>
      </w:pPr>
    </w:p>
    <w:p w:rsidR="0097380E" w:rsidRDefault="0097380E">
      <w:pPr>
        <w:jc w:val="both"/>
        <w:rPr>
          <w:rFonts w:ascii="Arial" w:hAnsi="Arial" w:cs="Arial"/>
          <w:sz w:val="22"/>
        </w:rPr>
      </w:pPr>
    </w:p>
    <w:p w:rsidR="001715B9" w:rsidRDefault="001715B9">
      <w:pPr>
        <w:jc w:val="both"/>
        <w:rPr>
          <w:rFonts w:ascii="Arial" w:hAnsi="Arial" w:cs="Arial"/>
          <w:sz w:val="22"/>
        </w:rPr>
      </w:pPr>
    </w:p>
    <w:p w:rsidR="00D25FC1" w:rsidRDefault="00D25FC1">
      <w:pPr>
        <w:jc w:val="both"/>
        <w:rPr>
          <w:rFonts w:ascii="Arial" w:hAnsi="Arial" w:cs="Arial"/>
          <w:sz w:val="22"/>
        </w:rPr>
      </w:pPr>
    </w:p>
    <w:p w:rsidR="00D25FC1" w:rsidRDefault="00D25FC1">
      <w:pPr>
        <w:jc w:val="both"/>
        <w:rPr>
          <w:rFonts w:ascii="Arial" w:hAnsi="Arial" w:cs="Arial"/>
          <w:sz w:val="22"/>
        </w:rPr>
      </w:pPr>
    </w:p>
    <w:p w:rsidR="00A82500" w:rsidRDefault="00A82500">
      <w:pPr>
        <w:jc w:val="both"/>
        <w:rPr>
          <w:rFonts w:ascii="Arial" w:hAnsi="Arial" w:cs="Arial"/>
          <w:b/>
          <w:sz w:val="22"/>
        </w:rPr>
      </w:pPr>
      <w:r>
        <w:rPr>
          <w:rFonts w:ascii="Arial" w:hAnsi="Arial" w:cs="Arial"/>
          <w:b/>
          <w:sz w:val="22"/>
        </w:rPr>
        <w:t xml:space="preserve">2.   Aufgabe der </w:t>
      </w:r>
      <w:r w:rsidR="00D4767C">
        <w:rPr>
          <w:rFonts w:ascii="Arial" w:hAnsi="Arial" w:cs="Arial"/>
          <w:b/>
          <w:sz w:val="22"/>
        </w:rPr>
        <w:t>Finanz- und Investitionsplanung</w:t>
      </w:r>
    </w:p>
    <w:p w:rsidR="00A82500" w:rsidRDefault="00A82500">
      <w:pPr>
        <w:pStyle w:val="Textkrper3"/>
        <w:rPr>
          <w:bCs/>
        </w:rPr>
      </w:pPr>
    </w:p>
    <w:p w:rsidR="001715B9" w:rsidRDefault="00A82500">
      <w:pPr>
        <w:pStyle w:val="Textkrper3"/>
      </w:pPr>
      <w:r>
        <w:t xml:space="preserve">Der Auftrag für die jährliche Aktualisierung des </w:t>
      </w:r>
      <w:r w:rsidR="00D4767C" w:rsidRPr="00D4767C">
        <w:t xml:space="preserve">Finanz- </w:t>
      </w:r>
      <w:r w:rsidR="00307F18" w:rsidRPr="00D4767C">
        <w:t>und</w:t>
      </w:r>
      <w:r w:rsidR="00D4767C" w:rsidRPr="00D4767C">
        <w:t xml:space="preserve"> Investitionsplan</w:t>
      </w:r>
      <w:r w:rsidR="00712F97">
        <w:t>s</w:t>
      </w:r>
      <w:r>
        <w:t xml:space="preserve"> ist in Art. 43 der Gemeindeordnung geregelt. Danach hat der Stadtrat dem Gemeindeparlament einen Finan</w:t>
      </w:r>
      <w:r>
        <w:t>z</w:t>
      </w:r>
      <w:r>
        <w:t xml:space="preserve">plan für die nächsten fünf Jahre zur Kenntnisnahme vorzulegen. </w:t>
      </w:r>
      <w:r w:rsidR="0097380E">
        <w:t>Gegenüber d</w:t>
      </w:r>
      <w:r w:rsidR="001715B9">
        <w:t>en Finanzplänen der Vorjahre, in welchen sieben Planjahre aufgeführt wurden, werden</w:t>
      </w:r>
      <w:r w:rsidR="0097380E">
        <w:t xml:space="preserve"> in diesem Finanzplan nur </w:t>
      </w:r>
      <w:r w:rsidR="001715B9">
        <w:t>sechs</w:t>
      </w:r>
      <w:r w:rsidR="0097380E">
        <w:t xml:space="preserve"> Planjahre gezeigt. Zusätzlich </w:t>
      </w:r>
      <w:r w:rsidR="005713FF">
        <w:t>werden</w:t>
      </w:r>
      <w:r w:rsidR="0097380E">
        <w:t xml:space="preserve"> das ak</w:t>
      </w:r>
      <w:r w:rsidR="001715B9">
        <w:t>tuell zu beschliessende</w:t>
      </w:r>
      <w:r w:rsidR="0097380E">
        <w:t xml:space="preserve"> Budget, das korrigie</w:t>
      </w:r>
      <w:r w:rsidR="0097380E">
        <w:t>r</w:t>
      </w:r>
      <w:r w:rsidR="0097380E">
        <w:t>te Vorjahresbudet und das Rechnungsjahr 2012 gezeigt</w:t>
      </w:r>
      <w:r>
        <w:t xml:space="preserve">. </w:t>
      </w:r>
    </w:p>
    <w:p w:rsidR="001715B9" w:rsidRDefault="001715B9">
      <w:pPr>
        <w:pStyle w:val="Textkrper3"/>
      </w:pPr>
    </w:p>
    <w:p w:rsidR="00A82500" w:rsidRDefault="00A82500">
      <w:pPr>
        <w:pStyle w:val="Textkrper3"/>
      </w:pPr>
      <w:r>
        <w:t>Im Gegensatz zum Budget ist der Investitions- und Finanzplan nicht verbindlich, weil er auf einer Vielzahl von Annahmen basiert. Je länger der Zeithorizont, desto ungenauer sind die Ergebni</w:t>
      </w:r>
      <w:r>
        <w:t>s</w:t>
      </w:r>
      <w:r>
        <w:t>zahlen. Zudem beeinflussen noch unbekannte und vor allem nicht beeinflussbare Faktoren die Planergebnisse mehr oder weniger stark</w:t>
      </w:r>
      <w:r w:rsidR="0097380E">
        <w:t xml:space="preserve"> (vgl. Thema Chancen und Risiken</w:t>
      </w:r>
      <w:r w:rsidR="00694C4F">
        <w:t>, Kapitel 9</w:t>
      </w:r>
      <w:r w:rsidR="0097380E">
        <w:t>)</w:t>
      </w:r>
      <w:r>
        <w:t xml:space="preserve">. </w:t>
      </w:r>
    </w:p>
    <w:p w:rsidR="00A82500" w:rsidRDefault="00A82500">
      <w:pPr>
        <w:pStyle w:val="Textkrper3"/>
      </w:pPr>
    </w:p>
    <w:p w:rsidR="00245727" w:rsidRDefault="00A82500" w:rsidP="00245727">
      <w:pPr>
        <w:pStyle w:val="Textkrper3"/>
        <w:rPr>
          <w:bCs/>
        </w:rPr>
      </w:pPr>
      <w:r>
        <w:t>Dennoch muss der Plan als verlässliches Arbeitsinstrument für bevorstehende Entscheide ric</w:t>
      </w:r>
      <w:r>
        <w:t>h</w:t>
      </w:r>
      <w:r>
        <w:t xml:space="preserve">tungsweisend sein.  Er gibt Auskunft über die Prioritäten der </w:t>
      </w:r>
      <w:r w:rsidR="00307F18">
        <w:t>realisierungs</w:t>
      </w:r>
      <w:r>
        <w:t xml:space="preserve">reifen Projekte und die finanzwirksamen Vorgänge und setzt aufgrund der vorgegebenen Finanzkraft die Grenzen für das Investitionsvolumen und die Verschuldung. Nicht zu unterschätzen sind die </w:t>
      </w:r>
      <w:r>
        <w:rPr>
          <w:bCs/>
        </w:rPr>
        <w:t>Folgekosten neuer Investitionen, die sich auf die Erfolgsrechnungen der nachfolgenden Jahre entsprechend auswirken. Als eigentliches Frühwarnsystem übernimmt der Investitions- und Finanzplan eine wichtige Aufgabe und darf auch für ein Gemeinwesen als Nonprofit-Organisation nicht unte</w:t>
      </w:r>
      <w:r>
        <w:rPr>
          <w:bCs/>
        </w:rPr>
        <w:t>r</w:t>
      </w:r>
      <w:r>
        <w:rPr>
          <w:bCs/>
        </w:rPr>
        <w:t xml:space="preserve">schätzt werden. </w:t>
      </w:r>
      <w:r w:rsidR="002042E8">
        <w:rPr>
          <w:bCs/>
        </w:rPr>
        <w:t>Nur mit klar definierten und massvollen Zielgrössen kann ein öffentlicher F</w:t>
      </w:r>
      <w:r w:rsidR="002042E8">
        <w:rPr>
          <w:bCs/>
        </w:rPr>
        <w:t>i</w:t>
      </w:r>
      <w:r w:rsidR="002042E8">
        <w:rPr>
          <w:bCs/>
        </w:rPr>
        <w:t>nanzhaushalt nachhaltig ausgeglichen gestaltet werden.</w:t>
      </w:r>
      <w:r w:rsidR="00245727">
        <w:rPr>
          <w:bCs/>
        </w:rPr>
        <w:br w:type="page"/>
      </w:r>
    </w:p>
    <w:p w:rsidR="00486BD0" w:rsidRPr="00987A14" w:rsidRDefault="00486BD0" w:rsidP="00485065">
      <w:pPr>
        <w:pStyle w:val="berschrift4"/>
        <w:keepNext/>
        <w:numPr>
          <w:ilvl w:val="0"/>
          <w:numId w:val="9"/>
        </w:numPr>
        <w:jc w:val="both"/>
        <w:textAlignment w:val="auto"/>
        <w:rPr>
          <w:rFonts w:ascii="Arial" w:hAnsi="Arial" w:cs="Arial"/>
          <w:b/>
          <w:iCs/>
          <w:sz w:val="22"/>
          <w:szCs w:val="22"/>
          <w:u w:val="none"/>
        </w:rPr>
      </w:pPr>
      <w:r w:rsidRPr="00987A14">
        <w:rPr>
          <w:rFonts w:ascii="Arial" w:hAnsi="Arial" w:cs="Arial"/>
          <w:b/>
          <w:iCs/>
          <w:sz w:val="22"/>
          <w:szCs w:val="22"/>
          <w:u w:val="none"/>
        </w:rPr>
        <w:lastRenderedPageBreak/>
        <w:t xml:space="preserve">Finanzpolitische Grundsätze </w:t>
      </w:r>
    </w:p>
    <w:p w:rsidR="00486BD0" w:rsidRPr="00987A14" w:rsidRDefault="00486BD0" w:rsidP="00486BD0"/>
    <w:p w:rsidR="00312948" w:rsidRPr="00987A14" w:rsidRDefault="00486BD0" w:rsidP="00D25FC1">
      <w:pPr>
        <w:rPr>
          <w:rFonts w:ascii="Arial" w:hAnsi="Arial" w:cs="Arial"/>
          <w:sz w:val="22"/>
          <w:szCs w:val="22"/>
        </w:rPr>
      </w:pPr>
      <w:r w:rsidRPr="00987A14">
        <w:rPr>
          <w:rFonts w:ascii="Arial" w:hAnsi="Arial" w:cs="Arial"/>
          <w:sz w:val="22"/>
          <w:szCs w:val="22"/>
        </w:rPr>
        <w:t>Nachfolgend die im Rahmen der Budgetweisung verabschiedeten finanzpolitischen Grundsätze des Stadtrates:</w:t>
      </w:r>
    </w:p>
    <w:p w:rsidR="00D25FC1" w:rsidRPr="00987A14" w:rsidRDefault="00D25FC1" w:rsidP="00D25FC1">
      <w:pPr>
        <w:rPr>
          <w:rFonts w:ascii="Arial" w:hAnsi="Arial" w:cs="Arial"/>
          <w:sz w:val="22"/>
          <w:szCs w:val="22"/>
        </w:rPr>
      </w:pPr>
    </w:p>
    <w:p w:rsidR="00486BD0" w:rsidRPr="00987A14" w:rsidRDefault="00486BD0" w:rsidP="00486BD0">
      <w:pPr>
        <w:pStyle w:val="berschrift2"/>
        <w:rPr>
          <w:rFonts w:cs="Arial"/>
          <w:b w:val="0"/>
          <w:bCs/>
          <w:sz w:val="22"/>
          <w:szCs w:val="22"/>
        </w:rPr>
      </w:pPr>
      <w:r w:rsidRPr="00987A14">
        <w:rPr>
          <w:rFonts w:cs="Arial"/>
          <w:sz w:val="22"/>
          <w:szCs w:val="22"/>
        </w:rPr>
        <w:t>Leitsatz</w:t>
      </w:r>
    </w:p>
    <w:p w:rsidR="00486BD0" w:rsidRPr="00987A14" w:rsidRDefault="00486BD0" w:rsidP="00486BD0">
      <w:pPr>
        <w:jc w:val="both"/>
        <w:rPr>
          <w:rFonts w:ascii="Arial" w:hAnsi="Arial" w:cs="Arial"/>
          <w:sz w:val="22"/>
          <w:szCs w:val="22"/>
        </w:rPr>
      </w:pPr>
      <w:r w:rsidRPr="00987A14">
        <w:rPr>
          <w:rFonts w:ascii="Arial" w:hAnsi="Arial" w:cs="Arial"/>
          <w:sz w:val="22"/>
          <w:szCs w:val="22"/>
        </w:rPr>
        <w:t>Der Stadtrat verfolgt eine</w:t>
      </w:r>
      <w:r w:rsidRPr="00987A14">
        <w:rPr>
          <w:rFonts w:ascii="Arial" w:hAnsi="Arial" w:cs="Arial"/>
          <w:b/>
          <w:sz w:val="22"/>
          <w:szCs w:val="22"/>
        </w:rPr>
        <w:t xml:space="preserve"> </w:t>
      </w:r>
      <w:r w:rsidRPr="00987A14">
        <w:rPr>
          <w:rFonts w:ascii="Arial" w:hAnsi="Arial" w:cs="Arial"/>
          <w:bCs/>
          <w:sz w:val="22"/>
          <w:szCs w:val="22"/>
        </w:rPr>
        <w:t>nachhaltige Finanzpolitik,</w:t>
      </w:r>
      <w:r w:rsidRPr="00987A14">
        <w:rPr>
          <w:rFonts w:ascii="Arial" w:hAnsi="Arial" w:cs="Arial"/>
          <w:b/>
          <w:sz w:val="22"/>
          <w:szCs w:val="22"/>
        </w:rPr>
        <w:t xml:space="preserve"> </w:t>
      </w:r>
      <w:r w:rsidRPr="00987A14">
        <w:rPr>
          <w:rFonts w:ascii="Arial" w:hAnsi="Arial" w:cs="Arial"/>
          <w:sz w:val="22"/>
          <w:szCs w:val="22"/>
        </w:rPr>
        <w:t>damit die künftigen Generationen nicht u</w:t>
      </w:r>
      <w:r w:rsidRPr="00987A14">
        <w:rPr>
          <w:rFonts w:ascii="Arial" w:hAnsi="Arial" w:cs="Arial"/>
          <w:sz w:val="22"/>
          <w:szCs w:val="22"/>
        </w:rPr>
        <w:t>n</w:t>
      </w:r>
      <w:r w:rsidRPr="00987A14">
        <w:rPr>
          <w:rFonts w:ascii="Arial" w:hAnsi="Arial" w:cs="Arial"/>
          <w:sz w:val="22"/>
          <w:szCs w:val="22"/>
        </w:rPr>
        <w:t>verhältnismässige Folgekosten von heutigen Entscheidungen zu tragen haben.</w:t>
      </w:r>
    </w:p>
    <w:p w:rsidR="00486BD0" w:rsidRPr="00987A14" w:rsidRDefault="00486BD0" w:rsidP="00486BD0">
      <w:pPr>
        <w:pStyle w:val="berschrift2"/>
        <w:rPr>
          <w:rFonts w:cs="Arial"/>
          <w:i/>
          <w:sz w:val="22"/>
          <w:szCs w:val="22"/>
        </w:rPr>
      </w:pPr>
    </w:p>
    <w:p w:rsidR="00486BD0" w:rsidRPr="00987A14" w:rsidRDefault="00486BD0" w:rsidP="00486BD0">
      <w:pPr>
        <w:pStyle w:val="Textkrper"/>
        <w:rPr>
          <w:rFonts w:ascii="Arial" w:hAnsi="Arial" w:cs="Arial"/>
          <w:sz w:val="22"/>
          <w:szCs w:val="22"/>
        </w:rPr>
      </w:pPr>
      <w:r w:rsidRPr="00987A14">
        <w:rPr>
          <w:rFonts w:ascii="Arial" w:hAnsi="Arial" w:cs="Arial"/>
          <w:sz w:val="22"/>
          <w:szCs w:val="22"/>
        </w:rPr>
        <w:t xml:space="preserve">Auf die Dauer sind Einnahmen und Ausgaben ausgeglichen. </w:t>
      </w:r>
      <w:r w:rsidR="00CF674D">
        <w:rPr>
          <w:rFonts w:ascii="Arial" w:hAnsi="Arial" w:cs="Arial"/>
          <w:sz w:val="22"/>
          <w:szCs w:val="22"/>
        </w:rPr>
        <w:t>Langfristig</w:t>
      </w:r>
      <w:r w:rsidR="00DD73CA">
        <w:rPr>
          <w:rFonts w:ascii="Arial" w:hAnsi="Arial" w:cs="Arial"/>
          <w:sz w:val="22"/>
          <w:szCs w:val="22"/>
        </w:rPr>
        <w:t xml:space="preserve"> </w:t>
      </w:r>
      <w:r w:rsidR="00CF674D">
        <w:rPr>
          <w:rFonts w:ascii="Arial" w:hAnsi="Arial" w:cs="Arial"/>
          <w:sz w:val="22"/>
          <w:szCs w:val="22"/>
        </w:rPr>
        <w:t>sind</w:t>
      </w:r>
      <w:r w:rsidRPr="00987A14">
        <w:rPr>
          <w:rFonts w:ascii="Arial" w:hAnsi="Arial" w:cs="Arial"/>
          <w:sz w:val="22"/>
          <w:szCs w:val="22"/>
        </w:rPr>
        <w:t xml:space="preserve"> alle Investitionen durch selber erarbeitete Mittel (</w:t>
      </w:r>
      <w:r w:rsidR="002042E8" w:rsidRPr="00987A14">
        <w:rPr>
          <w:rFonts w:ascii="Arial" w:hAnsi="Arial" w:cs="Arial"/>
          <w:sz w:val="22"/>
          <w:szCs w:val="22"/>
        </w:rPr>
        <w:t>Cash</w:t>
      </w:r>
      <w:r w:rsidRPr="00987A14">
        <w:rPr>
          <w:rFonts w:ascii="Arial" w:hAnsi="Arial" w:cs="Arial"/>
          <w:sz w:val="22"/>
          <w:szCs w:val="22"/>
        </w:rPr>
        <w:t>-flow) gedeckt.</w:t>
      </w:r>
    </w:p>
    <w:p w:rsidR="00486BD0" w:rsidRPr="00987A14" w:rsidRDefault="00486BD0" w:rsidP="00486BD0">
      <w:pPr>
        <w:jc w:val="both"/>
        <w:rPr>
          <w:rFonts w:ascii="Arial" w:hAnsi="Arial" w:cs="Arial"/>
          <w:sz w:val="22"/>
          <w:szCs w:val="22"/>
        </w:rPr>
      </w:pPr>
    </w:p>
    <w:p w:rsidR="00486BD0" w:rsidRPr="00987A14" w:rsidRDefault="00486BD0" w:rsidP="00485065">
      <w:pPr>
        <w:numPr>
          <w:ilvl w:val="0"/>
          <w:numId w:val="5"/>
        </w:numPr>
        <w:overflowPunct/>
        <w:autoSpaceDE/>
        <w:autoSpaceDN/>
        <w:adjustRightInd/>
        <w:jc w:val="both"/>
        <w:textAlignment w:val="auto"/>
        <w:rPr>
          <w:rFonts w:ascii="Arial" w:hAnsi="Arial" w:cs="Arial"/>
          <w:sz w:val="22"/>
          <w:szCs w:val="22"/>
        </w:rPr>
      </w:pPr>
      <w:r w:rsidRPr="00987A14">
        <w:rPr>
          <w:rFonts w:ascii="Arial" w:hAnsi="Arial" w:cs="Arial"/>
          <w:sz w:val="22"/>
          <w:szCs w:val="22"/>
        </w:rPr>
        <w:t>Konjunkturelle Defizite sind mittelfristig auszugleichen.</w:t>
      </w:r>
    </w:p>
    <w:p w:rsidR="00486BD0" w:rsidRPr="00987A14" w:rsidRDefault="00486BD0" w:rsidP="00485065">
      <w:pPr>
        <w:numPr>
          <w:ilvl w:val="0"/>
          <w:numId w:val="5"/>
        </w:numPr>
        <w:overflowPunct/>
        <w:autoSpaceDE/>
        <w:autoSpaceDN/>
        <w:adjustRightInd/>
        <w:jc w:val="both"/>
        <w:textAlignment w:val="auto"/>
        <w:rPr>
          <w:rFonts w:ascii="Arial" w:hAnsi="Arial" w:cs="Arial"/>
          <w:sz w:val="22"/>
          <w:szCs w:val="22"/>
        </w:rPr>
      </w:pPr>
      <w:r w:rsidRPr="00987A14">
        <w:rPr>
          <w:rFonts w:ascii="Arial" w:hAnsi="Arial" w:cs="Arial"/>
          <w:sz w:val="22"/>
          <w:szCs w:val="22"/>
        </w:rPr>
        <w:t>In wirtschaftlich besseren Zeiten ist ein konsequenter Schuldenabbau vorzunehmen.</w:t>
      </w:r>
    </w:p>
    <w:p w:rsidR="00D4767C" w:rsidRPr="00987A14" w:rsidRDefault="00D4767C" w:rsidP="00486BD0">
      <w:pPr>
        <w:pStyle w:val="berschrift2"/>
        <w:rPr>
          <w:rFonts w:cs="Arial"/>
          <w:sz w:val="22"/>
          <w:szCs w:val="22"/>
        </w:rPr>
      </w:pPr>
    </w:p>
    <w:p w:rsidR="00486BD0" w:rsidRPr="00987A14" w:rsidRDefault="00486BD0" w:rsidP="00486BD0">
      <w:pPr>
        <w:pStyle w:val="berschrift2"/>
        <w:rPr>
          <w:rFonts w:cs="Arial"/>
          <w:b w:val="0"/>
          <w:bCs/>
          <w:sz w:val="22"/>
          <w:szCs w:val="22"/>
        </w:rPr>
      </w:pPr>
      <w:r w:rsidRPr="00987A14">
        <w:rPr>
          <w:rFonts w:cs="Arial"/>
          <w:sz w:val="22"/>
          <w:szCs w:val="22"/>
        </w:rPr>
        <w:t>Verschuldung</w:t>
      </w:r>
    </w:p>
    <w:p w:rsidR="00486BD0" w:rsidRPr="00987A14" w:rsidRDefault="00486BD0" w:rsidP="00486BD0">
      <w:pPr>
        <w:jc w:val="both"/>
        <w:rPr>
          <w:rFonts w:ascii="Arial" w:hAnsi="Arial" w:cs="Arial"/>
          <w:sz w:val="22"/>
          <w:szCs w:val="22"/>
        </w:rPr>
      </w:pPr>
      <w:r w:rsidRPr="00987A14">
        <w:rPr>
          <w:rFonts w:ascii="Arial" w:hAnsi="Arial" w:cs="Arial"/>
          <w:sz w:val="22"/>
          <w:szCs w:val="22"/>
        </w:rPr>
        <w:t>Das Resultat der nachhaltigen Finanzpolitik schlägt sich im Nettovermögen bzw. in der Nett</w:t>
      </w:r>
      <w:r w:rsidRPr="00987A14">
        <w:rPr>
          <w:rFonts w:ascii="Arial" w:hAnsi="Arial" w:cs="Arial"/>
          <w:sz w:val="22"/>
          <w:szCs w:val="22"/>
        </w:rPr>
        <w:t>o</w:t>
      </w:r>
      <w:r w:rsidRPr="00987A14">
        <w:rPr>
          <w:rFonts w:ascii="Arial" w:hAnsi="Arial" w:cs="Arial"/>
          <w:sz w:val="22"/>
          <w:szCs w:val="22"/>
        </w:rPr>
        <w:t xml:space="preserve">schuld pro Einwohner/in nieder. In der Planungsperiode </w:t>
      </w:r>
      <w:r w:rsidR="00C07B6A" w:rsidRPr="00987A14">
        <w:rPr>
          <w:rFonts w:ascii="Arial" w:hAnsi="Arial" w:cs="Arial"/>
          <w:sz w:val="22"/>
          <w:szCs w:val="22"/>
        </w:rPr>
        <w:t>201</w:t>
      </w:r>
      <w:r w:rsidR="00812066" w:rsidRPr="00987A14">
        <w:rPr>
          <w:rFonts w:ascii="Arial" w:hAnsi="Arial" w:cs="Arial"/>
          <w:sz w:val="22"/>
          <w:szCs w:val="22"/>
        </w:rPr>
        <w:t>4</w:t>
      </w:r>
      <w:r w:rsidR="00C07B6A" w:rsidRPr="00987A14">
        <w:rPr>
          <w:rFonts w:ascii="Arial" w:hAnsi="Arial" w:cs="Arial"/>
          <w:sz w:val="22"/>
          <w:szCs w:val="22"/>
        </w:rPr>
        <w:t xml:space="preserve"> – 20</w:t>
      </w:r>
      <w:r w:rsidR="00812066" w:rsidRPr="00987A14">
        <w:rPr>
          <w:rFonts w:ascii="Arial" w:hAnsi="Arial" w:cs="Arial"/>
          <w:sz w:val="22"/>
          <w:szCs w:val="22"/>
        </w:rPr>
        <w:t xml:space="preserve">20 wird per </w:t>
      </w:r>
      <w:r w:rsidR="00CF674D">
        <w:rPr>
          <w:rFonts w:ascii="Arial" w:hAnsi="Arial" w:cs="Arial"/>
          <w:sz w:val="22"/>
          <w:szCs w:val="22"/>
        </w:rPr>
        <w:t>Anfang 2014</w:t>
      </w:r>
      <w:r w:rsidR="00812066" w:rsidRPr="00987A14">
        <w:rPr>
          <w:rFonts w:ascii="Arial" w:hAnsi="Arial" w:cs="Arial"/>
          <w:sz w:val="22"/>
          <w:szCs w:val="22"/>
        </w:rPr>
        <w:t xml:space="preserve"> seit langem wieder mit einer Nettoverschuldung</w:t>
      </w:r>
      <w:r w:rsidRPr="00987A14">
        <w:rPr>
          <w:rFonts w:ascii="Arial" w:hAnsi="Arial" w:cs="Arial"/>
          <w:sz w:val="22"/>
          <w:szCs w:val="22"/>
        </w:rPr>
        <w:t xml:space="preserve"> </w:t>
      </w:r>
      <w:r w:rsidR="00812066" w:rsidRPr="00987A14">
        <w:rPr>
          <w:rFonts w:ascii="Arial" w:hAnsi="Arial" w:cs="Arial"/>
          <w:sz w:val="22"/>
          <w:szCs w:val="22"/>
        </w:rPr>
        <w:t>zu rechnen sein. Die Verschuldung wird künftig au</w:t>
      </w:r>
      <w:r w:rsidR="00812066" w:rsidRPr="00987A14">
        <w:rPr>
          <w:rFonts w:ascii="Arial" w:hAnsi="Arial" w:cs="Arial"/>
          <w:sz w:val="22"/>
          <w:szCs w:val="22"/>
        </w:rPr>
        <w:t>f</w:t>
      </w:r>
      <w:r w:rsidR="00812066" w:rsidRPr="00987A14">
        <w:rPr>
          <w:rFonts w:ascii="Arial" w:hAnsi="Arial" w:cs="Arial"/>
          <w:sz w:val="22"/>
          <w:szCs w:val="22"/>
        </w:rPr>
        <w:t xml:space="preserve">grund der fehlenden Mittel sowohl für die </w:t>
      </w:r>
      <w:r w:rsidR="00DD73CA" w:rsidRPr="00987A14">
        <w:rPr>
          <w:rFonts w:ascii="Arial" w:hAnsi="Arial" w:cs="Arial"/>
          <w:sz w:val="22"/>
          <w:szCs w:val="22"/>
        </w:rPr>
        <w:t>laufende</w:t>
      </w:r>
      <w:r w:rsidR="00812066" w:rsidRPr="00987A14">
        <w:rPr>
          <w:rFonts w:ascii="Arial" w:hAnsi="Arial" w:cs="Arial"/>
          <w:sz w:val="22"/>
          <w:szCs w:val="22"/>
        </w:rPr>
        <w:t xml:space="preserve"> Rechnung </w:t>
      </w:r>
      <w:r w:rsidR="00CF674D">
        <w:rPr>
          <w:rFonts w:ascii="Arial" w:hAnsi="Arial" w:cs="Arial"/>
          <w:sz w:val="22"/>
          <w:szCs w:val="22"/>
        </w:rPr>
        <w:t>als auch</w:t>
      </w:r>
      <w:r w:rsidR="00812066" w:rsidRPr="00987A14">
        <w:rPr>
          <w:rFonts w:ascii="Arial" w:hAnsi="Arial" w:cs="Arial"/>
          <w:sz w:val="22"/>
          <w:szCs w:val="22"/>
        </w:rPr>
        <w:t xml:space="preserve"> für die Investitionsrec</w:t>
      </w:r>
      <w:r w:rsidR="00812066" w:rsidRPr="00987A14">
        <w:rPr>
          <w:rFonts w:ascii="Arial" w:hAnsi="Arial" w:cs="Arial"/>
          <w:sz w:val="22"/>
          <w:szCs w:val="22"/>
        </w:rPr>
        <w:t>h</w:t>
      </w:r>
      <w:r w:rsidR="00812066" w:rsidRPr="00987A14">
        <w:rPr>
          <w:rFonts w:ascii="Arial" w:hAnsi="Arial" w:cs="Arial"/>
          <w:sz w:val="22"/>
          <w:szCs w:val="22"/>
        </w:rPr>
        <w:t>nung sehr hoch ansteigen. Ab einer Nettoverschuldung von 5‘000 Franken pro Einwohner sowie fehlendem Eigenkapital wird das Schuldencontrolling des Kanton</w:t>
      </w:r>
      <w:r w:rsidR="005713FF">
        <w:rPr>
          <w:rFonts w:ascii="Arial" w:hAnsi="Arial" w:cs="Arial"/>
          <w:sz w:val="22"/>
          <w:szCs w:val="22"/>
        </w:rPr>
        <w:t>s</w:t>
      </w:r>
      <w:r w:rsidR="00812066" w:rsidRPr="00987A14">
        <w:rPr>
          <w:rFonts w:ascii="Arial" w:hAnsi="Arial" w:cs="Arial"/>
          <w:sz w:val="22"/>
          <w:szCs w:val="22"/>
        </w:rPr>
        <w:t xml:space="preserve"> Solothurn aktiv.</w:t>
      </w:r>
    </w:p>
    <w:p w:rsidR="00486BD0" w:rsidRPr="00987A14" w:rsidRDefault="00486BD0" w:rsidP="00486BD0">
      <w:pPr>
        <w:pStyle w:val="Textkrper21"/>
        <w:overflowPunct/>
        <w:autoSpaceDE/>
        <w:autoSpaceDN/>
        <w:adjustRightInd/>
        <w:textAlignment w:val="auto"/>
        <w:rPr>
          <w:rFonts w:cs="Arial"/>
          <w:szCs w:val="22"/>
        </w:rPr>
      </w:pPr>
    </w:p>
    <w:p w:rsidR="00486BD0" w:rsidRPr="00987A14" w:rsidRDefault="00486BD0" w:rsidP="00485065">
      <w:pPr>
        <w:numPr>
          <w:ilvl w:val="0"/>
          <w:numId w:val="6"/>
        </w:numPr>
        <w:overflowPunct/>
        <w:autoSpaceDE/>
        <w:autoSpaceDN/>
        <w:adjustRightInd/>
        <w:jc w:val="both"/>
        <w:textAlignment w:val="auto"/>
        <w:rPr>
          <w:rFonts w:ascii="Arial" w:hAnsi="Arial" w:cs="Arial"/>
          <w:sz w:val="22"/>
          <w:szCs w:val="22"/>
        </w:rPr>
      </w:pPr>
      <w:r w:rsidRPr="00987A14">
        <w:rPr>
          <w:rFonts w:ascii="Arial" w:hAnsi="Arial" w:cs="Arial"/>
          <w:sz w:val="22"/>
          <w:szCs w:val="22"/>
        </w:rPr>
        <w:t xml:space="preserve">Langfristig wird </w:t>
      </w:r>
      <w:r w:rsidR="00812066" w:rsidRPr="00987A14">
        <w:rPr>
          <w:rFonts w:ascii="Arial" w:hAnsi="Arial" w:cs="Arial"/>
          <w:sz w:val="22"/>
          <w:szCs w:val="22"/>
        </w:rPr>
        <w:t xml:space="preserve">eine </w:t>
      </w:r>
      <w:r w:rsidR="00DD73CA" w:rsidRPr="00987A14">
        <w:rPr>
          <w:rFonts w:ascii="Arial" w:hAnsi="Arial" w:cs="Arial"/>
          <w:sz w:val="22"/>
          <w:szCs w:val="22"/>
        </w:rPr>
        <w:t>Nettoverschuldung</w:t>
      </w:r>
      <w:r w:rsidR="00812066" w:rsidRPr="00987A14">
        <w:rPr>
          <w:rFonts w:ascii="Arial" w:hAnsi="Arial" w:cs="Arial"/>
          <w:sz w:val="22"/>
          <w:szCs w:val="22"/>
        </w:rPr>
        <w:t xml:space="preserve"> von </w:t>
      </w:r>
      <w:r w:rsidR="00812066" w:rsidRPr="005713FF">
        <w:rPr>
          <w:rFonts w:ascii="Arial" w:hAnsi="Arial" w:cs="Arial"/>
          <w:sz w:val="22"/>
          <w:szCs w:val="22"/>
        </w:rPr>
        <w:t xml:space="preserve">unter </w:t>
      </w:r>
      <w:r w:rsidR="006500AB">
        <w:rPr>
          <w:rFonts w:ascii="Arial" w:hAnsi="Arial" w:cs="Arial"/>
          <w:sz w:val="22"/>
          <w:szCs w:val="22"/>
        </w:rPr>
        <w:t>2</w:t>
      </w:r>
      <w:r w:rsidR="00812066" w:rsidRPr="005713FF">
        <w:rPr>
          <w:rFonts w:ascii="Arial" w:hAnsi="Arial" w:cs="Arial"/>
          <w:sz w:val="22"/>
          <w:szCs w:val="22"/>
        </w:rPr>
        <w:t>‘</w:t>
      </w:r>
      <w:r w:rsidR="006500AB">
        <w:rPr>
          <w:rFonts w:ascii="Arial" w:hAnsi="Arial" w:cs="Arial"/>
          <w:sz w:val="22"/>
          <w:szCs w:val="22"/>
        </w:rPr>
        <w:t>5</w:t>
      </w:r>
      <w:r w:rsidR="00812066" w:rsidRPr="005713FF">
        <w:rPr>
          <w:rFonts w:ascii="Arial" w:hAnsi="Arial" w:cs="Arial"/>
          <w:sz w:val="22"/>
          <w:szCs w:val="22"/>
        </w:rPr>
        <w:t>00</w:t>
      </w:r>
      <w:r w:rsidR="00812066" w:rsidRPr="00987A14">
        <w:rPr>
          <w:rFonts w:ascii="Arial" w:hAnsi="Arial" w:cs="Arial"/>
          <w:sz w:val="22"/>
          <w:szCs w:val="22"/>
        </w:rPr>
        <w:t xml:space="preserve"> Franken pro Einwohner angestrebt.</w:t>
      </w:r>
      <w:r w:rsidR="00812066" w:rsidRPr="00987A14">
        <w:rPr>
          <w:rFonts w:ascii="Arial" w:hAnsi="Arial" w:cs="Arial"/>
          <w:sz w:val="22"/>
          <w:szCs w:val="22"/>
        </w:rPr>
        <w:br/>
      </w:r>
    </w:p>
    <w:p w:rsidR="00486BD0" w:rsidRPr="00987A14" w:rsidRDefault="00486BD0" w:rsidP="00486BD0">
      <w:pPr>
        <w:pStyle w:val="berschrift2"/>
        <w:rPr>
          <w:rFonts w:cs="Arial"/>
          <w:b w:val="0"/>
          <w:bCs/>
          <w:sz w:val="22"/>
          <w:szCs w:val="22"/>
        </w:rPr>
      </w:pPr>
      <w:r w:rsidRPr="00987A14">
        <w:rPr>
          <w:rFonts w:cs="Arial"/>
          <w:sz w:val="22"/>
          <w:szCs w:val="22"/>
        </w:rPr>
        <w:t>Investitionen</w:t>
      </w:r>
    </w:p>
    <w:p w:rsidR="00486BD0" w:rsidRPr="00987A14" w:rsidRDefault="00486BD0" w:rsidP="00486BD0">
      <w:pPr>
        <w:jc w:val="both"/>
        <w:rPr>
          <w:rFonts w:ascii="Arial" w:hAnsi="Arial" w:cs="Arial"/>
          <w:sz w:val="22"/>
          <w:szCs w:val="22"/>
        </w:rPr>
      </w:pPr>
      <w:r w:rsidRPr="00987A14">
        <w:rPr>
          <w:rFonts w:ascii="Arial" w:hAnsi="Arial" w:cs="Arial"/>
          <w:sz w:val="22"/>
          <w:szCs w:val="22"/>
        </w:rPr>
        <w:t>Das Investitionsvolumen der Stadt Olten richtet sich primär nach den finanziellen Möglichkeiten</w:t>
      </w:r>
      <w:r w:rsidR="001353EA" w:rsidRPr="00987A14">
        <w:rPr>
          <w:rFonts w:ascii="Arial" w:hAnsi="Arial" w:cs="Arial"/>
          <w:sz w:val="22"/>
          <w:szCs w:val="22"/>
        </w:rPr>
        <w:t>, muss aber auch  eine kontinuierliche Weiterentwicklung der Stadt gewährleisten.</w:t>
      </w:r>
    </w:p>
    <w:p w:rsidR="00486BD0" w:rsidRPr="00987A14" w:rsidRDefault="00486BD0" w:rsidP="00486BD0">
      <w:pPr>
        <w:jc w:val="both"/>
        <w:rPr>
          <w:rFonts w:ascii="Arial" w:hAnsi="Arial" w:cs="Arial"/>
          <w:sz w:val="22"/>
          <w:szCs w:val="22"/>
        </w:rPr>
      </w:pPr>
    </w:p>
    <w:p w:rsidR="00486BD0" w:rsidRPr="00987A14" w:rsidRDefault="00486BD0" w:rsidP="00485065">
      <w:pPr>
        <w:numPr>
          <w:ilvl w:val="0"/>
          <w:numId w:val="4"/>
        </w:numPr>
        <w:overflowPunct/>
        <w:autoSpaceDE/>
        <w:autoSpaceDN/>
        <w:adjustRightInd/>
        <w:jc w:val="both"/>
        <w:textAlignment w:val="auto"/>
        <w:rPr>
          <w:rFonts w:ascii="Arial" w:hAnsi="Arial" w:cs="Arial"/>
          <w:sz w:val="22"/>
          <w:szCs w:val="22"/>
        </w:rPr>
      </w:pPr>
      <w:r w:rsidRPr="00987A14">
        <w:rPr>
          <w:rFonts w:ascii="Arial" w:hAnsi="Arial" w:cs="Arial"/>
          <w:sz w:val="22"/>
          <w:szCs w:val="22"/>
        </w:rPr>
        <w:t>Der Selbstfinanzierungsgrad für werterhaltende Investitionen</w:t>
      </w:r>
      <w:r w:rsidR="0094081A">
        <w:rPr>
          <w:rFonts w:ascii="Arial" w:hAnsi="Arial" w:cs="Arial"/>
          <w:sz w:val="22"/>
          <w:szCs w:val="22"/>
        </w:rPr>
        <w:t xml:space="preserve"> (Kategorie A)</w:t>
      </w:r>
      <w:r w:rsidR="001353EA" w:rsidRPr="00987A14">
        <w:rPr>
          <w:rFonts w:ascii="Arial" w:hAnsi="Arial" w:cs="Arial"/>
          <w:sz w:val="22"/>
          <w:szCs w:val="22"/>
        </w:rPr>
        <w:t xml:space="preserve"> soll in Hochko</w:t>
      </w:r>
      <w:r w:rsidR="001353EA" w:rsidRPr="00987A14">
        <w:rPr>
          <w:rFonts w:ascii="Arial" w:hAnsi="Arial" w:cs="Arial"/>
          <w:sz w:val="22"/>
          <w:szCs w:val="22"/>
        </w:rPr>
        <w:t>n</w:t>
      </w:r>
      <w:r w:rsidR="001353EA" w:rsidRPr="00987A14">
        <w:rPr>
          <w:rFonts w:ascii="Arial" w:hAnsi="Arial" w:cs="Arial"/>
          <w:sz w:val="22"/>
          <w:szCs w:val="22"/>
        </w:rPr>
        <w:t>ju</w:t>
      </w:r>
      <w:r w:rsidR="00712F97">
        <w:rPr>
          <w:rFonts w:ascii="Arial" w:hAnsi="Arial" w:cs="Arial"/>
          <w:sz w:val="22"/>
          <w:szCs w:val="22"/>
        </w:rPr>
        <w:t>n</w:t>
      </w:r>
      <w:r w:rsidR="001353EA" w:rsidRPr="00987A14">
        <w:rPr>
          <w:rFonts w:ascii="Arial" w:hAnsi="Arial" w:cs="Arial"/>
          <w:sz w:val="22"/>
          <w:szCs w:val="22"/>
        </w:rPr>
        <w:t>kturzeiten</w:t>
      </w:r>
      <w:r w:rsidRPr="00987A14">
        <w:rPr>
          <w:rFonts w:ascii="Arial" w:hAnsi="Arial" w:cs="Arial"/>
          <w:sz w:val="22"/>
          <w:szCs w:val="22"/>
        </w:rPr>
        <w:t xml:space="preserve"> dauernd 100%</w:t>
      </w:r>
      <w:r w:rsidR="001353EA" w:rsidRPr="00987A14">
        <w:rPr>
          <w:rFonts w:ascii="Arial" w:hAnsi="Arial" w:cs="Arial"/>
          <w:sz w:val="22"/>
          <w:szCs w:val="22"/>
        </w:rPr>
        <w:t xml:space="preserve"> betragen.</w:t>
      </w:r>
      <w:r w:rsidR="0094081A">
        <w:rPr>
          <w:rFonts w:ascii="Arial" w:hAnsi="Arial" w:cs="Arial"/>
          <w:sz w:val="22"/>
          <w:szCs w:val="22"/>
        </w:rPr>
        <w:br/>
      </w:r>
    </w:p>
    <w:p w:rsidR="00486BD0" w:rsidRPr="00987A14" w:rsidRDefault="00486BD0" w:rsidP="00485065">
      <w:pPr>
        <w:numPr>
          <w:ilvl w:val="0"/>
          <w:numId w:val="4"/>
        </w:numPr>
        <w:overflowPunct/>
        <w:autoSpaceDE/>
        <w:autoSpaceDN/>
        <w:adjustRightInd/>
        <w:jc w:val="both"/>
        <w:textAlignment w:val="auto"/>
        <w:rPr>
          <w:rFonts w:ascii="Arial" w:hAnsi="Arial" w:cs="Arial"/>
          <w:sz w:val="22"/>
          <w:szCs w:val="22"/>
        </w:rPr>
      </w:pPr>
      <w:r w:rsidRPr="00987A14">
        <w:rPr>
          <w:rFonts w:ascii="Arial" w:hAnsi="Arial" w:cs="Arial"/>
          <w:sz w:val="22"/>
          <w:szCs w:val="22"/>
        </w:rPr>
        <w:t>Der Selbstfinanzierungsgrad der Gesamtinvestitionen liegt langfristig bei 100%.</w:t>
      </w:r>
    </w:p>
    <w:p w:rsidR="00486BD0" w:rsidRPr="00987A14" w:rsidRDefault="00486BD0" w:rsidP="00486BD0">
      <w:pPr>
        <w:jc w:val="both"/>
        <w:rPr>
          <w:rFonts w:ascii="Arial" w:hAnsi="Arial" w:cs="Arial"/>
          <w:sz w:val="22"/>
          <w:szCs w:val="22"/>
        </w:rPr>
      </w:pPr>
    </w:p>
    <w:p w:rsidR="00486BD0" w:rsidRPr="00987A14" w:rsidRDefault="00486BD0" w:rsidP="00486BD0">
      <w:pPr>
        <w:pStyle w:val="berschrift2"/>
        <w:rPr>
          <w:rFonts w:cs="Arial"/>
          <w:b w:val="0"/>
          <w:bCs/>
          <w:sz w:val="22"/>
          <w:szCs w:val="22"/>
        </w:rPr>
      </w:pPr>
      <w:r w:rsidRPr="00987A14">
        <w:rPr>
          <w:rFonts w:cs="Arial"/>
          <w:sz w:val="22"/>
          <w:szCs w:val="22"/>
        </w:rPr>
        <w:t>Steuern</w:t>
      </w:r>
    </w:p>
    <w:p w:rsidR="00486BD0" w:rsidRPr="00987A14" w:rsidRDefault="00486BD0" w:rsidP="00486BD0">
      <w:pPr>
        <w:jc w:val="both"/>
        <w:rPr>
          <w:rFonts w:ascii="Arial" w:hAnsi="Arial" w:cs="Arial"/>
          <w:sz w:val="22"/>
          <w:szCs w:val="22"/>
        </w:rPr>
      </w:pPr>
      <w:r w:rsidRPr="00987A14">
        <w:rPr>
          <w:rFonts w:ascii="Arial" w:hAnsi="Arial" w:cs="Arial"/>
          <w:sz w:val="22"/>
          <w:szCs w:val="22"/>
        </w:rPr>
        <w:t xml:space="preserve">Der Steuerfuss für natürliche und juristische Personen richtet sich </w:t>
      </w:r>
      <w:r w:rsidR="006402FA">
        <w:rPr>
          <w:rFonts w:ascii="Arial" w:hAnsi="Arial" w:cs="Arial"/>
          <w:sz w:val="22"/>
          <w:szCs w:val="22"/>
        </w:rPr>
        <w:t>am</w:t>
      </w:r>
      <w:r w:rsidRPr="00987A14">
        <w:rPr>
          <w:rFonts w:ascii="Arial" w:hAnsi="Arial" w:cs="Arial"/>
          <w:sz w:val="22"/>
          <w:szCs w:val="22"/>
        </w:rPr>
        <w:t xml:space="preserve"> mittelfristigen </w:t>
      </w:r>
      <w:r w:rsidR="006402FA">
        <w:rPr>
          <w:rFonts w:ascii="Arial" w:hAnsi="Arial" w:cs="Arial"/>
          <w:sz w:val="22"/>
          <w:szCs w:val="22"/>
        </w:rPr>
        <w:t>Finanzb</w:t>
      </w:r>
      <w:r w:rsidR="006402FA">
        <w:rPr>
          <w:rFonts w:ascii="Arial" w:hAnsi="Arial" w:cs="Arial"/>
          <w:sz w:val="22"/>
          <w:szCs w:val="22"/>
        </w:rPr>
        <w:t>e</w:t>
      </w:r>
      <w:r w:rsidR="006402FA">
        <w:rPr>
          <w:rFonts w:ascii="Arial" w:hAnsi="Arial" w:cs="Arial"/>
          <w:sz w:val="22"/>
          <w:szCs w:val="22"/>
        </w:rPr>
        <w:t>darf zur Erfüllung</w:t>
      </w:r>
      <w:r w:rsidR="006500AB">
        <w:rPr>
          <w:rFonts w:ascii="Arial" w:hAnsi="Arial" w:cs="Arial"/>
          <w:sz w:val="22"/>
          <w:szCs w:val="22"/>
        </w:rPr>
        <w:t xml:space="preserve"> </w:t>
      </w:r>
      <w:r w:rsidR="006402FA">
        <w:rPr>
          <w:rFonts w:ascii="Arial" w:hAnsi="Arial" w:cs="Arial"/>
          <w:sz w:val="22"/>
          <w:szCs w:val="22"/>
        </w:rPr>
        <w:t>der</w:t>
      </w:r>
      <w:r w:rsidR="006500AB">
        <w:rPr>
          <w:rFonts w:ascii="Arial" w:hAnsi="Arial" w:cs="Arial"/>
          <w:sz w:val="22"/>
          <w:szCs w:val="22"/>
        </w:rPr>
        <w:t xml:space="preserve"> Kernaufgaben der Stadt </w:t>
      </w:r>
      <w:r w:rsidRPr="00987A14">
        <w:rPr>
          <w:rFonts w:ascii="Arial" w:hAnsi="Arial" w:cs="Arial"/>
          <w:sz w:val="22"/>
          <w:szCs w:val="22"/>
        </w:rPr>
        <w:t>aus.</w:t>
      </w:r>
    </w:p>
    <w:p w:rsidR="00486BD0" w:rsidRPr="00987A14" w:rsidRDefault="00486BD0" w:rsidP="00486BD0">
      <w:pPr>
        <w:jc w:val="both"/>
        <w:rPr>
          <w:rFonts w:ascii="Arial" w:hAnsi="Arial" w:cs="Arial"/>
          <w:sz w:val="22"/>
          <w:szCs w:val="22"/>
        </w:rPr>
      </w:pPr>
    </w:p>
    <w:p w:rsidR="00486BD0" w:rsidRPr="00987A14" w:rsidRDefault="00486BD0" w:rsidP="00485065">
      <w:pPr>
        <w:numPr>
          <w:ilvl w:val="0"/>
          <w:numId w:val="7"/>
        </w:numPr>
        <w:overflowPunct/>
        <w:autoSpaceDE/>
        <w:autoSpaceDN/>
        <w:adjustRightInd/>
        <w:jc w:val="both"/>
        <w:textAlignment w:val="auto"/>
        <w:rPr>
          <w:rFonts w:ascii="Arial" w:hAnsi="Arial" w:cs="Arial"/>
          <w:sz w:val="22"/>
          <w:szCs w:val="22"/>
        </w:rPr>
      </w:pPr>
      <w:r w:rsidRPr="00987A14">
        <w:rPr>
          <w:rFonts w:ascii="Arial" w:hAnsi="Arial" w:cs="Arial"/>
          <w:sz w:val="22"/>
          <w:szCs w:val="22"/>
        </w:rPr>
        <w:t>Der Steuerfuss für natürliche und juristische Personen ist identisch.</w:t>
      </w:r>
    </w:p>
    <w:p w:rsidR="00486BD0" w:rsidRPr="005713FF" w:rsidRDefault="00486BD0" w:rsidP="00485065">
      <w:pPr>
        <w:numPr>
          <w:ilvl w:val="0"/>
          <w:numId w:val="7"/>
        </w:numPr>
        <w:overflowPunct/>
        <w:autoSpaceDE/>
        <w:autoSpaceDN/>
        <w:adjustRightInd/>
        <w:jc w:val="both"/>
        <w:textAlignment w:val="auto"/>
        <w:rPr>
          <w:rFonts w:ascii="Arial" w:hAnsi="Arial" w:cs="Arial"/>
          <w:sz w:val="22"/>
          <w:szCs w:val="22"/>
        </w:rPr>
      </w:pPr>
      <w:r w:rsidRPr="005713FF">
        <w:rPr>
          <w:rFonts w:ascii="Arial" w:hAnsi="Arial" w:cs="Arial"/>
          <w:sz w:val="22"/>
          <w:szCs w:val="22"/>
        </w:rPr>
        <w:t xml:space="preserve">Die steuerliche Belastung </w:t>
      </w:r>
      <w:r w:rsidR="00812066" w:rsidRPr="005713FF">
        <w:rPr>
          <w:rFonts w:ascii="Arial" w:hAnsi="Arial" w:cs="Arial"/>
          <w:sz w:val="22"/>
          <w:szCs w:val="22"/>
        </w:rPr>
        <w:t xml:space="preserve">orientiert sich an </w:t>
      </w:r>
      <w:r w:rsidR="00DD73CA" w:rsidRPr="005713FF">
        <w:rPr>
          <w:rFonts w:ascii="Arial" w:hAnsi="Arial" w:cs="Arial"/>
          <w:sz w:val="22"/>
          <w:szCs w:val="22"/>
        </w:rPr>
        <w:t>den</w:t>
      </w:r>
      <w:r w:rsidR="00812066" w:rsidRPr="005713FF">
        <w:rPr>
          <w:rFonts w:ascii="Arial" w:hAnsi="Arial" w:cs="Arial"/>
          <w:sz w:val="22"/>
          <w:szCs w:val="22"/>
        </w:rPr>
        <w:t xml:space="preserve"> Kernaufgaben der Verwaltung</w:t>
      </w:r>
      <w:r w:rsidR="00694C4F" w:rsidRPr="005713FF">
        <w:rPr>
          <w:rFonts w:ascii="Arial" w:hAnsi="Arial" w:cs="Arial"/>
          <w:sz w:val="22"/>
          <w:szCs w:val="22"/>
        </w:rPr>
        <w:t xml:space="preserve"> sowie der Zentrumsfunktion der Stadt Olten</w:t>
      </w:r>
      <w:r w:rsidR="00812066" w:rsidRPr="005713FF">
        <w:rPr>
          <w:rFonts w:ascii="Arial" w:hAnsi="Arial" w:cs="Arial"/>
          <w:sz w:val="22"/>
          <w:szCs w:val="22"/>
        </w:rPr>
        <w:t>.</w:t>
      </w:r>
    </w:p>
    <w:p w:rsidR="00486BD0" w:rsidRPr="00987A14" w:rsidRDefault="00486BD0" w:rsidP="00486BD0">
      <w:pPr>
        <w:jc w:val="both"/>
        <w:rPr>
          <w:rFonts w:ascii="Arial" w:hAnsi="Arial" w:cs="Arial"/>
          <w:sz w:val="22"/>
          <w:szCs w:val="22"/>
        </w:rPr>
      </w:pPr>
    </w:p>
    <w:p w:rsidR="00486BD0" w:rsidRPr="00987A14" w:rsidRDefault="00486BD0" w:rsidP="00486BD0">
      <w:pPr>
        <w:pStyle w:val="berschrift2"/>
        <w:rPr>
          <w:rFonts w:cs="Arial"/>
          <w:b w:val="0"/>
          <w:bCs/>
          <w:sz w:val="22"/>
          <w:szCs w:val="22"/>
        </w:rPr>
      </w:pPr>
      <w:r w:rsidRPr="00987A14">
        <w:rPr>
          <w:rFonts w:cs="Arial"/>
          <w:sz w:val="22"/>
          <w:szCs w:val="22"/>
        </w:rPr>
        <w:t>Abschreibungen</w:t>
      </w:r>
    </w:p>
    <w:p w:rsidR="00486BD0" w:rsidRPr="00987A14" w:rsidRDefault="001353EA" w:rsidP="00486BD0">
      <w:pPr>
        <w:jc w:val="both"/>
        <w:rPr>
          <w:rFonts w:ascii="Arial" w:hAnsi="Arial" w:cs="Arial"/>
          <w:sz w:val="22"/>
          <w:szCs w:val="22"/>
        </w:rPr>
      </w:pPr>
      <w:r w:rsidRPr="00987A14">
        <w:rPr>
          <w:rFonts w:ascii="Arial" w:hAnsi="Arial" w:cs="Arial"/>
          <w:sz w:val="22"/>
          <w:szCs w:val="22"/>
        </w:rPr>
        <w:t>Die Abschreibungen richten sich nach den gesetzlichen Vorschriften.</w:t>
      </w:r>
    </w:p>
    <w:p w:rsidR="00486BD0" w:rsidRPr="00987A14" w:rsidRDefault="00486BD0" w:rsidP="00486BD0">
      <w:pPr>
        <w:jc w:val="both"/>
        <w:rPr>
          <w:rFonts w:ascii="Arial" w:hAnsi="Arial" w:cs="Arial"/>
          <w:sz w:val="22"/>
          <w:szCs w:val="22"/>
        </w:rPr>
      </w:pPr>
    </w:p>
    <w:p w:rsidR="00486BD0" w:rsidRPr="00987A14" w:rsidRDefault="00987A14" w:rsidP="00485065">
      <w:pPr>
        <w:numPr>
          <w:ilvl w:val="0"/>
          <w:numId w:val="8"/>
        </w:numPr>
        <w:overflowPunct/>
        <w:autoSpaceDE/>
        <w:autoSpaceDN/>
        <w:adjustRightInd/>
        <w:jc w:val="both"/>
        <w:textAlignment w:val="auto"/>
        <w:rPr>
          <w:rFonts w:ascii="Arial" w:hAnsi="Arial" w:cs="Arial"/>
          <w:sz w:val="22"/>
          <w:szCs w:val="22"/>
        </w:rPr>
      </w:pPr>
      <w:r w:rsidRPr="00987A14">
        <w:rPr>
          <w:rFonts w:ascii="Arial" w:hAnsi="Arial" w:cs="Arial"/>
          <w:sz w:val="22"/>
          <w:szCs w:val="22"/>
        </w:rPr>
        <w:t>Nach HRM1 betragen die Abschreibungen 8% degressiv.</w:t>
      </w:r>
    </w:p>
    <w:p w:rsidR="00245727" w:rsidRPr="00987A14" w:rsidRDefault="00245727">
      <w:pPr>
        <w:overflowPunct/>
        <w:autoSpaceDE/>
        <w:autoSpaceDN/>
        <w:adjustRightInd/>
        <w:textAlignment w:val="auto"/>
        <w:rPr>
          <w:rFonts w:ascii="Arial" w:hAnsi="Arial" w:cs="Arial"/>
          <w:b/>
          <w:sz w:val="22"/>
        </w:rPr>
      </w:pPr>
      <w:r w:rsidRPr="00987A14">
        <w:rPr>
          <w:rFonts w:ascii="Arial" w:hAnsi="Arial" w:cs="Arial"/>
          <w:b/>
          <w:sz w:val="22"/>
        </w:rPr>
        <w:br w:type="page"/>
      </w:r>
    </w:p>
    <w:p w:rsidR="00A82500" w:rsidRDefault="00486BD0">
      <w:pPr>
        <w:jc w:val="both"/>
        <w:rPr>
          <w:rFonts w:ascii="Arial" w:hAnsi="Arial" w:cs="Arial"/>
          <w:b/>
          <w:sz w:val="22"/>
        </w:rPr>
      </w:pPr>
      <w:r>
        <w:rPr>
          <w:rFonts w:ascii="Arial" w:hAnsi="Arial" w:cs="Arial"/>
          <w:b/>
          <w:sz w:val="22"/>
        </w:rPr>
        <w:lastRenderedPageBreak/>
        <w:t>4</w:t>
      </w:r>
      <w:r w:rsidR="00A82500">
        <w:rPr>
          <w:rFonts w:ascii="Arial" w:hAnsi="Arial" w:cs="Arial"/>
          <w:b/>
          <w:sz w:val="22"/>
        </w:rPr>
        <w:t>.   Ausgangslage und Konjunkturentwicklung</w:t>
      </w:r>
      <w:r w:rsidR="006F33C8">
        <w:rPr>
          <w:rFonts w:ascii="Arial" w:hAnsi="Arial" w:cs="Arial"/>
          <w:b/>
          <w:sz w:val="22"/>
        </w:rPr>
        <w:t xml:space="preserve"> / Szenarien für die Steuerentwicklung</w:t>
      </w:r>
    </w:p>
    <w:p w:rsidR="00936EA3" w:rsidRDefault="00936EA3">
      <w:pPr>
        <w:jc w:val="both"/>
        <w:rPr>
          <w:rFonts w:ascii="Arial" w:hAnsi="Arial" w:cs="Arial"/>
          <w:sz w:val="20"/>
        </w:rPr>
      </w:pPr>
    </w:p>
    <w:p w:rsidR="00922A55" w:rsidRPr="00922A55" w:rsidRDefault="00922A55">
      <w:pPr>
        <w:jc w:val="both"/>
        <w:rPr>
          <w:rFonts w:ascii="Arial" w:hAnsi="Arial" w:cs="Arial"/>
          <w:b/>
          <w:sz w:val="20"/>
        </w:rPr>
      </w:pPr>
      <w:r w:rsidRPr="00922A55">
        <w:rPr>
          <w:rFonts w:ascii="Arial" w:hAnsi="Arial" w:cs="Arial"/>
          <w:b/>
          <w:sz w:val="20"/>
        </w:rPr>
        <w:t>4.1 Konjunkturentwicklung</w:t>
      </w:r>
      <w:r w:rsidRPr="00922A55">
        <w:rPr>
          <w:rFonts w:ascii="Arial" w:hAnsi="Arial" w:cs="Arial"/>
          <w:b/>
          <w:sz w:val="20"/>
        </w:rPr>
        <w:br/>
      </w:r>
    </w:p>
    <w:p w:rsidR="00362990" w:rsidRDefault="00776AC2" w:rsidP="000A150E">
      <w:pPr>
        <w:numPr>
          <w:ilvl w:val="12"/>
          <w:numId w:val="0"/>
        </w:numPr>
        <w:jc w:val="both"/>
        <w:rPr>
          <w:rFonts w:ascii="Arial" w:hAnsi="Arial" w:cs="Arial"/>
          <w:color w:val="000000" w:themeColor="text1"/>
          <w:sz w:val="22"/>
        </w:rPr>
      </w:pPr>
      <w:r>
        <w:rPr>
          <w:rFonts w:ascii="Arial" w:hAnsi="Arial" w:cs="Arial"/>
          <w:color w:val="000000" w:themeColor="text1"/>
          <w:sz w:val="22"/>
        </w:rPr>
        <w:t>In der Herbstprognose vom 23. September 2013 fasst die KOF (Konju</w:t>
      </w:r>
      <w:r w:rsidR="00DD73CA">
        <w:rPr>
          <w:rFonts w:ascii="Arial" w:hAnsi="Arial" w:cs="Arial"/>
          <w:color w:val="000000" w:themeColor="text1"/>
          <w:sz w:val="22"/>
        </w:rPr>
        <w:t>n</w:t>
      </w:r>
      <w:r>
        <w:rPr>
          <w:rFonts w:ascii="Arial" w:hAnsi="Arial" w:cs="Arial"/>
          <w:color w:val="000000" w:themeColor="text1"/>
          <w:sz w:val="22"/>
        </w:rPr>
        <w:t>kturforschungsstelle der eidgenössisch Technischen Hochschule Z</w:t>
      </w:r>
      <w:r w:rsidR="005713FF">
        <w:rPr>
          <w:rFonts w:ascii="Arial" w:hAnsi="Arial" w:cs="Arial"/>
          <w:color w:val="000000" w:themeColor="text1"/>
          <w:sz w:val="22"/>
        </w:rPr>
        <w:t>ü</w:t>
      </w:r>
      <w:r>
        <w:rPr>
          <w:rFonts w:ascii="Arial" w:hAnsi="Arial" w:cs="Arial"/>
          <w:color w:val="000000" w:themeColor="text1"/>
          <w:sz w:val="22"/>
        </w:rPr>
        <w:t>rich) die erwartete Entwicklung wie folgt zusammen:</w:t>
      </w:r>
    </w:p>
    <w:p w:rsidR="00776AC2" w:rsidRDefault="00776AC2" w:rsidP="000A150E">
      <w:pPr>
        <w:numPr>
          <w:ilvl w:val="12"/>
          <w:numId w:val="0"/>
        </w:numPr>
        <w:jc w:val="both"/>
        <w:rPr>
          <w:rFonts w:ascii="Arial" w:hAnsi="Arial" w:cs="Arial"/>
          <w:color w:val="000000" w:themeColor="text1"/>
          <w:sz w:val="22"/>
        </w:rPr>
      </w:pPr>
    </w:p>
    <w:p w:rsidR="00776AC2" w:rsidRPr="00776AC2" w:rsidRDefault="00776AC2" w:rsidP="00776AC2">
      <w:pPr>
        <w:pStyle w:val="Listenabsatz"/>
        <w:numPr>
          <w:ilvl w:val="0"/>
          <w:numId w:val="15"/>
        </w:numPr>
        <w:overflowPunct/>
        <w:jc w:val="both"/>
        <w:textAlignment w:val="auto"/>
        <w:rPr>
          <w:rFonts w:ascii="Arial" w:hAnsi="Arial" w:cs="Arial"/>
          <w:color w:val="000000" w:themeColor="text1"/>
          <w:sz w:val="22"/>
          <w:szCs w:val="22"/>
        </w:rPr>
      </w:pPr>
      <w:r w:rsidRPr="00776AC2">
        <w:rPr>
          <w:rFonts w:ascii="Arial" w:hAnsi="Arial" w:cs="Arial"/>
          <w:color w:val="000000" w:themeColor="text1"/>
          <w:sz w:val="22"/>
        </w:rPr>
        <w:t>Schweizer Wirtschaft expandiert</w:t>
      </w:r>
      <w:r w:rsidRPr="00776AC2">
        <w:rPr>
          <w:rFonts w:ascii="Arial" w:hAnsi="Arial" w:cs="Arial"/>
          <w:color w:val="000000" w:themeColor="text1"/>
          <w:sz w:val="22"/>
        </w:rPr>
        <w:br/>
      </w:r>
      <w:r w:rsidRPr="00776AC2">
        <w:rPr>
          <w:rFonts w:ascii="Arial" w:hAnsi="Arial" w:cs="Arial"/>
          <w:bCs/>
          <w:sz w:val="22"/>
          <w:szCs w:val="22"/>
          <w:lang w:val="de-CH" w:eastAsia="de-CH"/>
        </w:rPr>
        <w:t>Die KOF erwartet in ihrer jüngsten Prognose ein Wachstum des Schweizer Bruttoinlan</w:t>
      </w:r>
      <w:r w:rsidRPr="00776AC2">
        <w:rPr>
          <w:rFonts w:ascii="Arial" w:hAnsi="Arial" w:cs="Arial"/>
          <w:bCs/>
          <w:sz w:val="22"/>
          <w:szCs w:val="22"/>
          <w:lang w:val="de-CH" w:eastAsia="de-CH"/>
        </w:rPr>
        <w:t>d</w:t>
      </w:r>
      <w:r w:rsidRPr="00776AC2">
        <w:rPr>
          <w:rFonts w:ascii="Arial" w:hAnsi="Arial" w:cs="Arial"/>
          <w:bCs/>
          <w:sz w:val="22"/>
          <w:szCs w:val="22"/>
          <w:lang w:val="de-CH" w:eastAsia="de-CH"/>
        </w:rPr>
        <w:t>produkts</w:t>
      </w:r>
      <w:r w:rsidR="00922A55">
        <w:rPr>
          <w:rFonts w:ascii="Arial" w:hAnsi="Arial" w:cs="Arial"/>
          <w:bCs/>
          <w:sz w:val="22"/>
          <w:szCs w:val="22"/>
          <w:lang w:val="de-CH" w:eastAsia="de-CH"/>
        </w:rPr>
        <w:t xml:space="preserve"> (BIP)</w:t>
      </w:r>
      <w:r w:rsidRPr="00776AC2">
        <w:rPr>
          <w:rFonts w:ascii="Arial" w:hAnsi="Arial" w:cs="Arial"/>
          <w:bCs/>
          <w:sz w:val="22"/>
          <w:szCs w:val="22"/>
          <w:lang w:val="de-CH" w:eastAsia="de-CH"/>
        </w:rPr>
        <w:t xml:space="preserve"> von 1.9% im laufenden und von 2.1% im kommenden Jahr. Damit passt sie ihre Prognose vom Juni 2013 nach oben an (2013: 1.4%, 2014: </w:t>
      </w:r>
      <w:r w:rsidRPr="00F2021A">
        <w:rPr>
          <w:rFonts w:ascii="Arial" w:hAnsi="Arial" w:cs="Arial"/>
          <w:b/>
          <w:bCs/>
          <w:sz w:val="22"/>
          <w:szCs w:val="22"/>
          <w:lang w:val="de-CH" w:eastAsia="de-CH"/>
        </w:rPr>
        <w:t>2.0%</w:t>
      </w:r>
      <w:r w:rsidRPr="00776AC2">
        <w:rPr>
          <w:rFonts w:ascii="Arial" w:hAnsi="Arial" w:cs="Arial"/>
          <w:bCs/>
          <w:sz w:val="22"/>
          <w:szCs w:val="22"/>
          <w:lang w:val="de-CH" w:eastAsia="de-CH"/>
        </w:rPr>
        <w:t xml:space="preserve">). </w:t>
      </w:r>
      <w:r>
        <w:rPr>
          <w:rFonts w:ascii="Arial" w:hAnsi="Arial" w:cs="Arial"/>
          <w:bCs/>
          <w:sz w:val="22"/>
          <w:szCs w:val="22"/>
          <w:lang w:val="de-CH" w:eastAsia="de-CH"/>
        </w:rPr>
        <w:br/>
      </w:r>
    </w:p>
    <w:p w:rsidR="00776AC2" w:rsidRPr="00776AC2" w:rsidRDefault="00776AC2" w:rsidP="00776AC2">
      <w:pPr>
        <w:pStyle w:val="Listenabsatz"/>
        <w:numPr>
          <w:ilvl w:val="0"/>
          <w:numId w:val="15"/>
        </w:numPr>
        <w:overflowPunct/>
        <w:jc w:val="both"/>
        <w:textAlignment w:val="auto"/>
        <w:rPr>
          <w:rFonts w:ascii="Arial" w:hAnsi="Arial" w:cs="Arial"/>
          <w:color w:val="000000" w:themeColor="text1"/>
          <w:sz w:val="22"/>
          <w:szCs w:val="22"/>
        </w:rPr>
      </w:pPr>
      <w:r w:rsidRPr="00776AC2">
        <w:rPr>
          <w:rFonts w:ascii="Arial" w:hAnsi="Arial" w:cs="Arial"/>
          <w:bCs/>
          <w:sz w:val="22"/>
          <w:szCs w:val="22"/>
          <w:lang w:val="de-CH" w:eastAsia="de-CH"/>
        </w:rPr>
        <w:t>Nachdem lange die Binnenwirtschaft die wichtigste Konjunkturstütze war, wird in den kommenden Monaten die Auslandnachfrage, mit entsprechend anziehenden Exporten, die Wirtschaftsexpansion stärker mitbestimmen. Die Konsumentenpreise steigen wieder leicht.</w:t>
      </w:r>
      <w:r>
        <w:rPr>
          <w:rFonts w:ascii="Arial" w:hAnsi="Arial" w:cs="Arial"/>
          <w:bCs/>
          <w:sz w:val="22"/>
          <w:szCs w:val="22"/>
          <w:lang w:val="de-CH" w:eastAsia="de-CH"/>
        </w:rPr>
        <w:br/>
      </w:r>
    </w:p>
    <w:p w:rsidR="00776AC2" w:rsidRPr="00776AC2" w:rsidRDefault="00776AC2" w:rsidP="00776AC2">
      <w:pPr>
        <w:pStyle w:val="Listenabsatz"/>
        <w:numPr>
          <w:ilvl w:val="0"/>
          <w:numId w:val="15"/>
        </w:numPr>
        <w:overflowPunct/>
        <w:jc w:val="both"/>
        <w:textAlignment w:val="auto"/>
        <w:rPr>
          <w:rFonts w:ascii="Arial" w:hAnsi="Arial" w:cs="Arial"/>
          <w:color w:val="000000" w:themeColor="text1"/>
          <w:sz w:val="22"/>
          <w:szCs w:val="22"/>
        </w:rPr>
      </w:pPr>
      <w:r w:rsidRPr="00776AC2">
        <w:rPr>
          <w:rFonts w:ascii="Arial" w:hAnsi="Arial" w:cs="Arial"/>
          <w:bCs/>
          <w:sz w:val="22"/>
          <w:szCs w:val="22"/>
          <w:lang w:val="de-CH" w:eastAsia="de-CH"/>
        </w:rPr>
        <w:t>Schweizer Konjunkturentwicklung</w:t>
      </w:r>
      <w:r w:rsidRPr="00776AC2">
        <w:rPr>
          <w:rFonts w:ascii="Arial" w:hAnsi="Arial" w:cs="Arial"/>
          <w:sz w:val="22"/>
          <w:szCs w:val="22"/>
          <w:lang w:val="de-CH" w:eastAsia="de-CH"/>
        </w:rPr>
        <w:t xml:space="preserve"> </w:t>
      </w:r>
      <w:r>
        <w:rPr>
          <w:rFonts w:ascii="Arial" w:hAnsi="Arial" w:cs="Arial"/>
          <w:sz w:val="22"/>
          <w:szCs w:val="22"/>
          <w:lang w:val="de-CH" w:eastAsia="de-CH"/>
        </w:rPr>
        <w:br/>
      </w:r>
      <w:r w:rsidRPr="00776AC2">
        <w:rPr>
          <w:rFonts w:ascii="Arial" w:hAnsi="Arial" w:cs="Arial"/>
          <w:sz w:val="22"/>
          <w:szCs w:val="22"/>
          <w:lang w:val="de-CH" w:eastAsia="de-CH"/>
        </w:rPr>
        <w:t>Die schweizerische Wirtschaft hat sich trotz der Rezession im Euroraum vergleichsweise gut</w:t>
      </w:r>
      <w:r w:rsidR="005713FF">
        <w:rPr>
          <w:rFonts w:ascii="Arial" w:hAnsi="Arial" w:cs="Arial"/>
          <w:sz w:val="22"/>
          <w:szCs w:val="22"/>
          <w:lang w:val="de-CH" w:eastAsia="de-CH"/>
        </w:rPr>
        <w:t xml:space="preserve"> </w:t>
      </w:r>
      <w:r w:rsidRPr="00776AC2">
        <w:rPr>
          <w:rFonts w:ascii="Arial" w:hAnsi="Arial" w:cs="Arial"/>
          <w:sz w:val="22"/>
          <w:szCs w:val="22"/>
          <w:lang w:val="de-CH" w:eastAsia="de-CH"/>
        </w:rPr>
        <w:t>gehalten. Dazu beigetragen haben in den letzten Jahren insbesondere die Bauwir</w:t>
      </w:r>
      <w:r w:rsidRPr="00776AC2">
        <w:rPr>
          <w:rFonts w:ascii="Arial" w:hAnsi="Arial" w:cs="Arial"/>
          <w:sz w:val="22"/>
          <w:szCs w:val="22"/>
          <w:lang w:val="de-CH" w:eastAsia="de-CH"/>
        </w:rPr>
        <w:t>t</w:t>
      </w:r>
      <w:r w:rsidRPr="00776AC2">
        <w:rPr>
          <w:rFonts w:ascii="Arial" w:hAnsi="Arial" w:cs="Arial"/>
          <w:sz w:val="22"/>
          <w:szCs w:val="22"/>
          <w:lang w:val="de-CH" w:eastAsia="de-CH"/>
        </w:rPr>
        <w:t>schaft und</w:t>
      </w:r>
      <w:r w:rsidR="00922A55">
        <w:rPr>
          <w:rFonts w:ascii="Arial" w:hAnsi="Arial" w:cs="Arial"/>
          <w:sz w:val="22"/>
          <w:szCs w:val="22"/>
          <w:lang w:val="de-CH" w:eastAsia="de-CH"/>
        </w:rPr>
        <w:t xml:space="preserve"> </w:t>
      </w:r>
      <w:r w:rsidRPr="00776AC2">
        <w:rPr>
          <w:rFonts w:ascii="Arial" w:hAnsi="Arial" w:cs="Arial"/>
          <w:sz w:val="22"/>
          <w:szCs w:val="22"/>
          <w:lang w:val="de-CH" w:eastAsia="de-CH"/>
        </w:rPr>
        <w:t>der private Konsum. 2014 werden die Bauinvestitionen nochmals kräftig wachsen (3.7%), da bisherige Kapazitätsengpässe im laufenden Jahr überwunden we</w:t>
      </w:r>
      <w:r w:rsidRPr="00776AC2">
        <w:rPr>
          <w:rFonts w:ascii="Arial" w:hAnsi="Arial" w:cs="Arial"/>
          <w:sz w:val="22"/>
          <w:szCs w:val="22"/>
          <w:lang w:val="de-CH" w:eastAsia="de-CH"/>
        </w:rPr>
        <w:t>r</w:t>
      </w:r>
      <w:r w:rsidRPr="00776AC2">
        <w:rPr>
          <w:rFonts w:ascii="Arial" w:hAnsi="Arial" w:cs="Arial"/>
          <w:sz w:val="22"/>
          <w:szCs w:val="22"/>
          <w:lang w:val="de-CH" w:eastAsia="de-CH"/>
        </w:rPr>
        <w:t>den konnten. Zudem profitiert der Woh</w:t>
      </w:r>
      <w:r w:rsidR="005713FF">
        <w:rPr>
          <w:rFonts w:ascii="Arial" w:hAnsi="Arial" w:cs="Arial"/>
          <w:sz w:val="22"/>
          <w:szCs w:val="22"/>
          <w:lang w:val="de-CH" w:eastAsia="de-CH"/>
        </w:rPr>
        <w:t>nungsbau</w:t>
      </w:r>
      <w:r w:rsidRPr="00776AC2">
        <w:rPr>
          <w:rFonts w:ascii="Arial" w:hAnsi="Arial" w:cs="Arial"/>
          <w:sz w:val="22"/>
          <w:szCs w:val="22"/>
          <w:lang w:val="de-CH" w:eastAsia="de-CH"/>
        </w:rPr>
        <w:t xml:space="preserve"> von der wachsenden Bevölkerung. Gleiches gilt für den privaten Konsum der seit Jahren das BIP-Wachstum in der Schweiz stützt. Das Konsumwachstum wird 2014</w:t>
      </w:r>
      <w:r>
        <w:rPr>
          <w:rFonts w:ascii="Arial" w:hAnsi="Arial" w:cs="Arial"/>
          <w:sz w:val="22"/>
          <w:szCs w:val="22"/>
          <w:lang w:val="de-CH" w:eastAsia="de-CH"/>
        </w:rPr>
        <w:t xml:space="preserve"> </w:t>
      </w:r>
      <w:r w:rsidRPr="00776AC2">
        <w:rPr>
          <w:rFonts w:ascii="Arial" w:hAnsi="Arial" w:cs="Arial"/>
          <w:sz w:val="22"/>
          <w:szCs w:val="22"/>
          <w:lang w:val="de-CH" w:eastAsia="de-CH"/>
        </w:rPr>
        <w:t>2.0% betragen.</w:t>
      </w:r>
      <w:r>
        <w:rPr>
          <w:rFonts w:ascii="Arial" w:hAnsi="Arial" w:cs="Arial"/>
          <w:sz w:val="22"/>
          <w:szCs w:val="22"/>
          <w:lang w:val="de-CH" w:eastAsia="de-CH"/>
        </w:rPr>
        <w:br/>
      </w:r>
    </w:p>
    <w:p w:rsidR="00842E9D" w:rsidRDefault="00776AC2">
      <w:pPr>
        <w:pStyle w:val="Listenabsatz"/>
        <w:numPr>
          <w:ilvl w:val="0"/>
          <w:numId w:val="15"/>
        </w:numPr>
        <w:overflowPunct/>
        <w:jc w:val="both"/>
        <w:textAlignment w:val="auto"/>
        <w:rPr>
          <w:rFonts w:ascii="Arial" w:hAnsi="Arial" w:cs="Arial"/>
          <w:color w:val="000000" w:themeColor="text1"/>
          <w:sz w:val="22"/>
        </w:rPr>
      </w:pPr>
      <w:r w:rsidRPr="00922A55">
        <w:rPr>
          <w:rFonts w:ascii="Arial" w:hAnsi="Arial" w:cs="Arial"/>
          <w:bCs/>
          <w:sz w:val="22"/>
          <w:szCs w:val="22"/>
          <w:lang w:val="de-CH" w:eastAsia="de-CH"/>
        </w:rPr>
        <w:t>Arbeitsmarktsituation</w:t>
      </w:r>
      <w:r w:rsidR="00922A55" w:rsidRPr="00922A55">
        <w:rPr>
          <w:rFonts w:ascii="Arial" w:hAnsi="Arial" w:cs="Arial"/>
          <w:b/>
          <w:bCs/>
          <w:sz w:val="22"/>
          <w:szCs w:val="22"/>
          <w:lang w:val="de-CH" w:eastAsia="de-CH"/>
        </w:rPr>
        <w:br/>
      </w:r>
      <w:r w:rsidR="00922A55" w:rsidRPr="00776AC2">
        <w:rPr>
          <w:rFonts w:ascii="Arial" w:hAnsi="Arial" w:cs="Arial"/>
          <w:bCs/>
          <w:sz w:val="22"/>
          <w:szCs w:val="22"/>
          <w:lang w:val="de-CH" w:eastAsia="de-CH"/>
        </w:rPr>
        <w:t>Die Arbeitslosigkeit bleibt tief, sinkt trotz der guten Wirtschaftsentwicklung aber kaum</w:t>
      </w:r>
      <w:r w:rsidR="00922A55">
        <w:rPr>
          <w:rFonts w:ascii="Arial" w:hAnsi="Arial" w:cs="Arial"/>
          <w:bCs/>
          <w:sz w:val="22"/>
          <w:szCs w:val="22"/>
          <w:lang w:val="de-CH" w:eastAsia="de-CH"/>
        </w:rPr>
        <w:t xml:space="preserve"> </w:t>
      </w:r>
      <w:r w:rsidR="00922A55" w:rsidRPr="00776AC2">
        <w:rPr>
          <w:rFonts w:ascii="Arial" w:hAnsi="Arial" w:cs="Arial"/>
          <w:bCs/>
          <w:sz w:val="22"/>
          <w:szCs w:val="22"/>
          <w:lang w:val="de-CH" w:eastAsia="de-CH"/>
        </w:rPr>
        <w:t xml:space="preserve">noch. </w:t>
      </w:r>
      <w:r w:rsidR="00922A55">
        <w:rPr>
          <w:rFonts w:ascii="Arial" w:hAnsi="Arial" w:cs="Arial"/>
          <w:sz w:val="22"/>
          <w:szCs w:val="22"/>
          <w:lang w:val="de-CH" w:eastAsia="de-CH"/>
        </w:rPr>
        <w:t xml:space="preserve"> Für das Jahr 2014 wird mit einer </w:t>
      </w:r>
      <w:r w:rsidRPr="00922A55">
        <w:rPr>
          <w:rFonts w:ascii="Arial" w:hAnsi="Arial" w:cs="Arial"/>
          <w:sz w:val="22"/>
          <w:szCs w:val="22"/>
          <w:lang w:val="de-CH" w:eastAsia="de-CH"/>
        </w:rPr>
        <w:t>Arbeitslosenquote</w:t>
      </w:r>
      <w:r w:rsidR="00922A55">
        <w:rPr>
          <w:rFonts w:ascii="Arial" w:hAnsi="Arial" w:cs="Arial"/>
          <w:sz w:val="22"/>
          <w:szCs w:val="22"/>
          <w:lang w:val="de-CH" w:eastAsia="de-CH"/>
        </w:rPr>
        <w:t xml:space="preserve"> von</w:t>
      </w:r>
      <w:r w:rsidRPr="00922A55">
        <w:rPr>
          <w:rFonts w:ascii="Arial" w:hAnsi="Arial" w:cs="Arial"/>
          <w:sz w:val="22"/>
          <w:szCs w:val="22"/>
          <w:lang w:val="de-CH" w:eastAsia="de-CH"/>
        </w:rPr>
        <w:t xml:space="preserve"> 3.1%</w:t>
      </w:r>
      <w:r w:rsidR="00922A55">
        <w:rPr>
          <w:rFonts w:ascii="Arial" w:hAnsi="Arial" w:cs="Arial"/>
          <w:sz w:val="22"/>
          <w:szCs w:val="22"/>
          <w:lang w:val="de-CH" w:eastAsia="de-CH"/>
        </w:rPr>
        <w:t xml:space="preserve"> gerechnet.</w:t>
      </w:r>
      <w:r w:rsidRPr="00922A55">
        <w:rPr>
          <w:rFonts w:ascii="Arial" w:hAnsi="Arial" w:cs="Arial"/>
          <w:sz w:val="22"/>
          <w:szCs w:val="22"/>
          <w:lang w:val="de-CH" w:eastAsia="de-CH"/>
        </w:rPr>
        <w:t xml:space="preserve"> Das p</w:t>
      </w:r>
      <w:r w:rsidRPr="00922A55">
        <w:rPr>
          <w:rFonts w:ascii="Arial" w:hAnsi="Arial" w:cs="Arial"/>
          <w:sz w:val="22"/>
          <w:szCs w:val="22"/>
          <w:lang w:val="de-CH" w:eastAsia="de-CH"/>
        </w:rPr>
        <w:t>o</w:t>
      </w:r>
      <w:r w:rsidRPr="00922A55">
        <w:rPr>
          <w:rFonts w:ascii="Arial" w:hAnsi="Arial" w:cs="Arial"/>
          <w:sz w:val="22"/>
          <w:szCs w:val="22"/>
          <w:lang w:val="de-CH" w:eastAsia="de-CH"/>
        </w:rPr>
        <w:t>sitive BIP-Wachstum trägt weniger</w:t>
      </w:r>
      <w:r w:rsidR="00922A55" w:rsidRPr="00922A55">
        <w:rPr>
          <w:rFonts w:ascii="Arial" w:hAnsi="Arial" w:cs="Arial"/>
          <w:sz w:val="22"/>
          <w:szCs w:val="22"/>
          <w:lang w:val="de-CH" w:eastAsia="de-CH"/>
        </w:rPr>
        <w:t xml:space="preserve"> </w:t>
      </w:r>
      <w:r w:rsidRPr="00922A55">
        <w:rPr>
          <w:rFonts w:ascii="Arial" w:hAnsi="Arial" w:cs="Arial"/>
          <w:sz w:val="22"/>
          <w:szCs w:val="22"/>
          <w:lang w:val="de-CH" w:eastAsia="de-CH"/>
        </w:rPr>
        <w:t>zur Reduktion der Arbeits</w:t>
      </w:r>
      <w:r w:rsidR="00922A55">
        <w:rPr>
          <w:rFonts w:ascii="Arial" w:hAnsi="Arial" w:cs="Arial"/>
          <w:sz w:val="22"/>
          <w:szCs w:val="22"/>
          <w:lang w:val="de-CH" w:eastAsia="de-CH"/>
        </w:rPr>
        <w:t>losigkeit bei</w:t>
      </w:r>
      <w:r w:rsidRPr="00922A55">
        <w:rPr>
          <w:rFonts w:ascii="Arial" w:hAnsi="Arial" w:cs="Arial"/>
          <w:sz w:val="22"/>
          <w:szCs w:val="22"/>
          <w:lang w:val="de-CH" w:eastAsia="de-CH"/>
        </w:rPr>
        <w:t xml:space="preserve"> als zu erwarten wäre. Dies könnte unter anderem damit</w:t>
      </w:r>
      <w:r w:rsidR="00922A55" w:rsidRPr="00922A55">
        <w:rPr>
          <w:rFonts w:ascii="Arial" w:hAnsi="Arial" w:cs="Arial"/>
          <w:sz w:val="22"/>
          <w:szCs w:val="22"/>
          <w:lang w:val="de-CH" w:eastAsia="de-CH"/>
        </w:rPr>
        <w:t xml:space="preserve"> </w:t>
      </w:r>
      <w:r w:rsidRPr="00922A55">
        <w:rPr>
          <w:rFonts w:ascii="Arial" w:hAnsi="Arial" w:cs="Arial"/>
          <w:sz w:val="22"/>
          <w:szCs w:val="22"/>
          <w:lang w:val="de-CH" w:eastAsia="de-CH"/>
        </w:rPr>
        <w:t>zusammenhängen, dass die Arbeitslosen in der Schweiz zunehmend nicht die für die offenen</w:t>
      </w:r>
      <w:r w:rsidR="00922A55">
        <w:rPr>
          <w:rFonts w:ascii="Arial" w:hAnsi="Arial" w:cs="Arial"/>
          <w:sz w:val="22"/>
          <w:szCs w:val="22"/>
          <w:lang w:val="de-CH" w:eastAsia="de-CH"/>
        </w:rPr>
        <w:t xml:space="preserve"> </w:t>
      </w:r>
      <w:r w:rsidRPr="00922A55">
        <w:rPr>
          <w:rFonts w:ascii="Arial" w:hAnsi="Arial" w:cs="Arial"/>
          <w:sz w:val="22"/>
          <w:szCs w:val="22"/>
          <w:lang w:val="de-CH" w:eastAsia="de-CH"/>
        </w:rPr>
        <w:t>Stellen erforderlichen – zumeist gehob</w:t>
      </w:r>
      <w:r w:rsidRPr="00922A55">
        <w:rPr>
          <w:rFonts w:ascii="Arial" w:hAnsi="Arial" w:cs="Arial"/>
          <w:sz w:val="22"/>
          <w:szCs w:val="22"/>
          <w:lang w:val="de-CH" w:eastAsia="de-CH"/>
        </w:rPr>
        <w:t>e</w:t>
      </w:r>
      <w:r w:rsidRPr="00922A55">
        <w:rPr>
          <w:rFonts w:ascii="Arial" w:hAnsi="Arial" w:cs="Arial"/>
          <w:sz w:val="22"/>
          <w:szCs w:val="22"/>
          <w:lang w:val="de-CH" w:eastAsia="de-CH"/>
        </w:rPr>
        <w:t>nen – Qualifikationsprofile aufweisen.</w:t>
      </w:r>
      <w:r w:rsidRPr="00922A55">
        <w:rPr>
          <w:rFonts w:ascii="Arial" w:hAnsi="Arial" w:cs="Arial"/>
          <w:b/>
          <w:bCs/>
          <w:sz w:val="22"/>
          <w:szCs w:val="22"/>
          <w:lang w:val="de-CH" w:eastAsia="de-CH"/>
        </w:rPr>
        <w:br/>
      </w:r>
    </w:p>
    <w:p w:rsidR="00E638F3" w:rsidRPr="00922A55" w:rsidRDefault="00922A55" w:rsidP="00922A55">
      <w:pPr>
        <w:jc w:val="both"/>
        <w:rPr>
          <w:rFonts w:ascii="Arial" w:hAnsi="Arial" w:cs="Arial"/>
          <w:color w:val="000000" w:themeColor="text1"/>
          <w:sz w:val="22"/>
          <w:szCs w:val="22"/>
        </w:rPr>
      </w:pPr>
      <w:r>
        <w:rPr>
          <w:rFonts w:ascii="Arial" w:hAnsi="Arial" w:cs="Arial"/>
          <w:b/>
          <w:color w:val="000000" w:themeColor="text1"/>
          <w:sz w:val="22"/>
        </w:rPr>
        <w:t xml:space="preserve">4.2 </w:t>
      </w:r>
      <w:r w:rsidR="00BF596A" w:rsidRPr="00922A55">
        <w:rPr>
          <w:rFonts w:ascii="Arial" w:hAnsi="Arial" w:cs="Arial"/>
          <w:b/>
          <w:color w:val="000000" w:themeColor="text1"/>
          <w:sz w:val="22"/>
        </w:rPr>
        <w:t>Szenarien für die Entwicklung der Steuererträge</w:t>
      </w:r>
    </w:p>
    <w:p w:rsidR="00E638F3" w:rsidRPr="00E638F3" w:rsidRDefault="00E638F3" w:rsidP="00E638F3">
      <w:pPr>
        <w:jc w:val="both"/>
        <w:rPr>
          <w:rFonts w:ascii="Arial" w:hAnsi="Arial" w:cs="Arial"/>
          <w:color w:val="000000" w:themeColor="text1"/>
          <w:sz w:val="22"/>
          <w:szCs w:val="22"/>
        </w:rPr>
      </w:pPr>
    </w:p>
    <w:p w:rsidR="00E638F3" w:rsidRPr="00E638F3" w:rsidRDefault="00F2021A" w:rsidP="00694C4F">
      <w:pPr>
        <w:pStyle w:val="Fuzeile"/>
        <w:jc w:val="both"/>
        <w:rPr>
          <w:rFonts w:ascii="Arial" w:hAnsi="Arial" w:cs="Arial"/>
          <w:sz w:val="22"/>
          <w:szCs w:val="22"/>
        </w:rPr>
      </w:pPr>
      <w:r>
        <w:rPr>
          <w:rFonts w:ascii="Arial" w:hAnsi="Arial" w:cs="Arial"/>
          <w:sz w:val="22"/>
          <w:szCs w:val="22"/>
        </w:rPr>
        <w:t xml:space="preserve">Wie </w:t>
      </w:r>
      <w:r w:rsidR="00694C4F">
        <w:rPr>
          <w:rFonts w:ascii="Arial" w:hAnsi="Arial" w:cs="Arial"/>
          <w:sz w:val="22"/>
          <w:szCs w:val="22"/>
        </w:rPr>
        <w:t>unter Kapitel 4.1</w:t>
      </w:r>
      <w:r>
        <w:rPr>
          <w:rFonts w:ascii="Arial" w:hAnsi="Arial" w:cs="Arial"/>
          <w:sz w:val="22"/>
          <w:szCs w:val="22"/>
        </w:rPr>
        <w:t xml:space="preserve"> erwähnt</w:t>
      </w:r>
      <w:r w:rsidR="005713FF">
        <w:rPr>
          <w:rFonts w:ascii="Arial" w:hAnsi="Arial" w:cs="Arial"/>
          <w:sz w:val="22"/>
          <w:szCs w:val="22"/>
        </w:rPr>
        <w:t>,</w:t>
      </w:r>
      <w:r>
        <w:rPr>
          <w:rFonts w:ascii="Arial" w:hAnsi="Arial" w:cs="Arial"/>
          <w:sz w:val="22"/>
          <w:szCs w:val="22"/>
        </w:rPr>
        <w:t xml:space="preserve"> rechnet die KOF für das Jahr 2014 mit einem Wachstum von 2</w:t>
      </w:r>
      <w:r w:rsidR="00694C4F">
        <w:rPr>
          <w:rFonts w:ascii="Arial" w:hAnsi="Arial" w:cs="Arial"/>
          <w:sz w:val="22"/>
          <w:szCs w:val="22"/>
        </w:rPr>
        <w:t>.0</w:t>
      </w:r>
      <w:r>
        <w:rPr>
          <w:rFonts w:ascii="Arial" w:hAnsi="Arial" w:cs="Arial"/>
          <w:sz w:val="22"/>
          <w:szCs w:val="22"/>
        </w:rPr>
        <w:t>%</w:t>
      </w:r>
      <w:r w:rsidR="00694C4F">
        <w:rPr>
          <w:rFonts w:ascii="Arial" w:hAnsi="Arial" w:cs="Arial"/>
          <w:sz w:val="22"/>
          <w:szCs w:val="22"/>
        </w:rPr>
        <w:t xml:space="preserve">. </w:t>
      </w:r>
      <w:r>
        <w:rPr>
          <w:rFonts w:ascii="Arial" w:hAnsi="Arial" w:cs="Arial"/>
          <w:sz w:val="22"/>
          <w:szCs w:val="22"/>
        </w:rPr>
        <w:t>Die</w:t>
      </w:r>
      <w:r w:rsidR="00E638F3" w:rsidRPr="00E638F3">
        <w:rPr>
          <w:rFonts w:ascii="Arial" w:hAnsi="Arial" w:cs="Arial"/>
          <w:sz w:val="22"/>
          <w:szCs w:val="22"/>
        </w:rPr>
        <w:t xml:space="preserve"> Expertengruppe des Bundes</w:t>
      </w:r>
      <w:r>
        <w:rPr>
          <w:rFonts w:ascii="Arial" w:hAnsi="Arial" w:cs="Arial"/>
          <w:sz w:val="22"/>
          <w:szCs w:val="22"/>
        </w:rPr>
        <w:t xml:space="preserve"> (SECO)</w:t>
      </w:r>
      <w:r w:rsidR="00E638F3" w:rsidRPr="00E638F3">
        <w:rPr>
          <w:rFonts w:ascii="Arial" w:hAnsi="Arial" w:cs="Arial"/>
          <w:sz w:val="22"/>
          <w:szCs w:val="22"/>
        </w:rPr>
        <w:t xml:space="preserve"> fasst in ihrem Bericht vom 19. September 2013</w:t>
      </w:r>
      <w:r>
        <w:rPr>
          <w:rFonts w:ascii="Arial" w:hAnsi="Arial" w:cs="Arial"/>
          <w:sz w:val="22"/>
          <w:szCs w:val="22"/>
        </w:rPr>
        <w:t xml:space="preserve"> </w:t>
      </w:r>
      <w:r w:rsidR="00E638F3" w:rsidRPr="00E638F3">
        <w:rPr>
          <w:rFonts w:ascii="Arial" w:hAnsi="Arial" w:cs="Arial"/>
          <w:sz w:val="22"/>
          <w:szCs w:val="22"/>
        </w:rPr>
        <w:t>zur Herbstprognose die erwartete Entwicklung wie folgt zusammen:</w:t>
      </w:r>
    </w:p>
    <w:p w:rsidR="00362990" w:rsidRPr="00E638F3" w:rsidRDefault="00BF596A" w:rsidP="00E638F3">
      <w:pPr>
        <w:ind w:left="426"/>
        <w:jc w:val="both"/>
        <w:rPr>
          <w:rFonts w:ascii="Arial" w:hAnsi="Arial" w:cs="Arial"/>
          <w:color w:val="000000" w:themeColor="text1"/>
          <w:sz w:val="22"/>
          <w:szCs w:val="22"/>
        </w:rPr>
      </w:pPr>
      <w:r w:rsidRPr="00E638F3">
        <w:rPr>
          <w:rFonts w:ascii="Arial" w:hAnsi="Arial" w:cs="Arial"/>
          <w:color w:val="000000" w:themeColor="text1"/>
          <w:sz w:val="22"/>
          <w:u w:val="single"/>
        </w:rPr>
        <w:br/>
        <w:t>Positivszenario</w:t>
      </w:r>
      <w:r w:rsidR="006F33C8" w:rsidRPr="00E638F3">
        <w:rPr>
          <w:rFonts w:ascii="Arial" w:hAnsi="Arial" w:cs="Arial"/>
          <w:color w:val="000000" w:themeColor="text1"/>
          <w:sz w:val="22"/>
          <w:u w:val="single"/>
        </w:rPr>
        <w:br/>
      </w:r>
      <w:r w:rsidR="00362990" w:rsidRPr="00E638F3">
        <w:rPr>
          <w:rFonts w:ascii="Arial" w:hAnsi="Arial" w:cs="Arial"/>
          <w:b/>
          <w:color w:val="000000" w:themeColor="text1"/>
          <w:sz w:val="22"/>
        </w:rPr>
        <w:br/>
      </w:r>
      <w:r w:rsidRPr="00E638F3">
        <w:rPr>
          <w:rFonts w:ascii="Arial" w:hAnsi="Arial" w:cs="Arial"/>
          <w:color w:val="000000"/>
          <w:sz w:val="22"/>
          <w:szCs w:val="22"/>
        </w:rPr>
        <w:t>Dank der ungebrochen lebhaften Binnenkonjunktur dürfte die Schweizer Wirtschaft bereits 2013 ein ansprechendes Wachstum von 1,8% erreichen. Demgegenüber lässt eine durc</w:t>
      </w:r>
      <w:r w:rsidRPr="00E638F3">
        <w:rPr>
          <w:rFonts w:ascii="Arial" w:hAnsi="Arial" w:cs="Arial"/>
          <w:color w:val="000000"/>
          <w:sz w:val="22"/>
          <w:szCs w:val="22"/>
        </w:rPr>
        <w:t>h</w:t>
      </w:r>
      <w:r w:rsidRPr="00E638F3">
        <w:rPr>
          <w:rFonts w:ascii="Arial" w:hAnsi="Arial" w:cs="Arial"/>
          <w:color w:val="000000"/>
          <w:sz w:val="22"/>
          <w:szCs w:val="22"/>
        </w:rPr>
        <w:t>greifende Erholung in der Exportindustrie, die sich in den schwierigen letzten Jahren relativ krisenfest zeigte, bislang noch auf sich warten. Auch in diesem Bereich ist jedoch Bess</w:t>
      </w:r>
      <w:r w:rsidRPr="00E638F3">
        <w:rPr>
          <w:rFonts w:ascii="Arial" w:hAnsi="Arial" w:cs="Arial"/>
          <w:color w:val="000000"/>
          <w:sz w:val="22"/>
          <w:szCs w:val="22"/>
        </w:rPr>
        <w:t>e</w:t>
      </w:r>
      <w:r w:rsidRPr="00E638F3">
        <w:rPr>
          <w:rFonts w:ascii="Arial" w:hAnsi="Arial" w:cs="Arial"/>
          <w:color w:val="000000"/>
          <w:sz w:val="22"/>
          <w:szCs w:val="22"/>
        </w:rPr>
        <w:t xml:space="preserve">rung in Sicht, weil die internationale Konjunktur, namentlich die sich anbahnende Erholung im Euroraum, für positive Impulse sorgen dürfte. Entsprechend rechnet die Expertengruppe für 2014 mit einem breiter abgestützten und weiter verstärkten BIP-Wachstum von </w:t>
      </w:r>
      <w:r w:rsidRPr="00E638F3">
        <w:rPr>
          <w:rFonts w:ascii="Arial" w:hAnsi="Arial" w:cs="Arial"/>
          <w:b/>
          <w:color w:val="000000"/>
          <w:sz w:val="22"/>
          <w:szCs w:val="22"/>
        </w:rPr>
        <w:t>2,3%</w:t>
      </w:r>
      <w:r w:rsidRPr="00E638F3">
        <w:rPr>
          <w:rFonts w:ascii="Arial" w:hAnsi="Arial" w:cs="Arial"/>
          <w:color w:val="000000"/>
          <w:sz w:val="22"/>
          <w:szCs w:val="22"/>
        </w:rPr>
        <w:t xml:space="preserve">. Im Zuge </w:t>
      </w:r>
      <w:r w:rsidR="005713FF">
        <w:rPr>
          <w:rFonts w:ascii="Arial" w:hAnsi="Arial" w:cs="Arial"/>
          <w:color w:val="000000"/>
          <w:sz w:val="22"/>
          <w:szCs w:val="22"/>
        </w:rPr>
        <w:t xml:space="preserve">der </w:t>
      </w:r>
      <w:r w:rsidRPr="00E638F3">
        <w:rPr>
          <w:rFonts w:ascii="Arial" w:hAnsi="Arial" w:cs="Arial"/>
          <w:color w:val="000000"/>
          <w:sz w:val="22"/>
          <w:szCs w:val="22"/>
        </w:rPr>
        <w:t>sich festigenden Konjunktur dürfte auch bei der Arbeitslosigkeit im nächsten Jahr allmählich eine Trendwende nach unten einsetzen.</w:t>
      </w:r>
    </w:p>
    <w:p w:rsidR="00E638F3" w:rsidRDefault="00E638F3" w:rsidP="00E638F3">
      <w:pPr>
        <w:jc w:val="both"/>
        <w:rPr>
          <w:rFonts w:ascii="Arial" w:hAnsi="Arial" w:cs="Arial"/>
          <w:color w:val="000000" w:themeColor="text1"/>
          <w:sz w:val="22"/>
          <w:szCs w:val="22"/>
        </w:rPr>
      </w:pPr>
    </w:p>
    <w:p w:rsidR="00E638F3" w:rsidRPr="00E638F3" w:rsidRDefault="00E638F3" w:rsidP="00E638F3">
      <w:pPr>
        <w:jc w:val="both"/>
        <w:rPr>
          <w:rFonts w:ascii="Arial" w:hAnsi="Arial" w:cs="Arial"/>
          <w:color w:val="000000" w:themeColor="text1"/>
          <w:sz w:val="22"/>
          <w:szCs w:val="22"/>
        </w:rPr>
      </w:pPr>
      <w:r>
        <w:rPr>
          <w:rFonts w:ascii="Arial" w:hAnsi="Arial" w:cs="Arial"/>
          <w:color w:val="000000" w:themeColor="text1"/>
          <w:sz w:val="22"/>
          <w:szCs w:val="22"/>
        </w:rPr>
        <w:t>Der Stadtrat beurteilt dieses Szenario als zu positiv. Ein von der BAKBASEL erstelltes</w:t>
      </w:r>
      <w:r w:rsidR="00F2021A">
        <w:rPr>
          <w:rFonts w:ascii="Arial" w:hAnsi="Arial" w:cs="Arial"/>
          <w:color w:val="000000" w:themeColor="text1"/>
          <w:sz w:val="22"/>
          <w:szCs w:val="22"/>
        </w:rPr>
        <w:t xml:space="preserve"> „worst case Szenario“</w:t>
      </w:r>
      <w:r>
        <w:rPr>
          <w:rFonts w:ascii="Arial" w:hAnsi="Arial" w:cs="Arial"/>
          <w:color w:val="000000" w:themeColor="text1"/>
          <w:sz w:val="22"/>
          <w:szCs w:val="22"/>
        </w:rPr>
        <w:t xml:space="preserve"> beurteilt die Konjunkturentwicklung wie folgt:</w:t>
      </w:r>
    </w:p>
    <w:p w:rsidR="00BF596A" w:rsidRDefault="00BF596A" w:rsidP="00BF596A">
      <w:pPr>
        <w:jc w:val="both"/>
        <w:rPr>
          <w:rFonts w:ascii="Arial" w:hAnsi="Arial" w:cs="Arial"/>
          <w:color w:val="000000" w:themeColor="text1"/>
          <w:sz w:val="22"/>
          <w:szCs w:val="22"/>
        </w:rPr>
      </w:pPr>
    </w:p>
    <w:p w:rsidR="00BF596A" w:rsidRDefault="00BF596A" w:rsidP="00BF596A">
      <w:pPr>
        <w:ind w:left="360"/>
        <w:jc w:val="both"/>
        <w:rPr>
          <w:rFonts w:ascii="Arial" w:hAnsi="Arial" w:cs="Arial"/>
          <w:color w:val="000000" w:themeColor="text1"/>
          <w:sz w:val="22"/>
          <w:szCs w:val="22"/>
        </w:rPr>
      </w:pPr>
      <w:r w:rsidRPr="00BF596A">
        <w:rPr>
          <w:rFonts w:ascii="Arial" w:hAnsi="Arial" w:cs="Arial"/>
          <w:color w:val="000000" w:themeColor="text1"/>
          <w:sz w:val="22"/>
          <w:szCs w:val="22"/>
          <w:u w:val="single"/>
        </w:rPr>
        <w:t>Negativszenario</w:t>
      </w:r>
      <w:r w:rsidR="006F33C8">
        <w:rPr>
          <w:rFonts w:ascii="Arial" w:hAnsi="Arial" w:cs="Arial"/>
          <w:color w:val="000000" w:themeColor="text1"/>
          <w:sz w:val="22"/>
          <w:szCs w:val="22"/>
          <w:u w:val="single"/>
        </w:rPr>
        <w:br/>
      </w:r>
      <w:r w:rsidRPr="00BF596A">
        <w:rPr>
          <w:rFonts w:ascii="Arial" w:hAnsi="Arial" w:cs="Arial"/>
          <w:color w:val="000000" w:themeColor="text1"/>
          <w:sz w:val="22"/>
          <w:szCs w:val="22"/>
          <w:u w:val="single"/>
        </w:rPr>
        <w:br/>
      </w:r>
      <w:r w:rsidRPr="00BF596A">
        <w:rPr>
          <w:rFonts w:ascii="Arial" w:hAnsi="Arial" w:cs="Arial"/>
          <w:color w:val="000000" w:themeColor="text1"/>
          <w:sz w:val="22"/>
          <w:szCs w:val="22"/>
        </w:rPr>
        <w:t>Ausgangspunkt des Negativszenarios ist eine anh</w:t>
      </w:r>
      <w:r>
        <w:rPr>
          <w:rFonts w:ascii="Arial" w:hAnsi="Arial" w:cs="Arial"/>
          <w:color w:val="000000" w:themeColor="text1"/>
          <w:sz w:val="22"/>
          <w:szCs w:val="22"/>
        </w:rPr>
        <w:t>altende wirtschaftliche Schwäche in den Schwellenländern. Sollten die Schwellenländer weiterhin nicht Tritt fassen, fehlen in der E</w:t>
      </w:r>
      <w:r>
        <w:rPr>
          <w:rFonts w:ascii="Arial" w:hAnsi="Arial" w:cs="Arial"/>
          <w:color w:val="000000" w:themeColor="text1"/>
          <w:sz w:val="22"/>
          <w:szCs w:val="22"/>
        </w:rPr>
        <w:t>u</w:t>
      </w:r>
      <w:r>
        <w:rPr>
          <w:rFonts w:ascii="Arial" w:hAnsi="Arial" w:cs="Arial"/>
          <w:color w:val="000000" w:themeColor="text1"/>
          <w:sz w:val="22"/>
          <w:szCs w:val="22"/>
        </w:rPr>
        <w:t xml:space="preserve">rozone wichtige positive Impulse, auch die erhoffte Beschleunigung in den USA könnte im Negativszenario, </w:t>
      </w:r>
      <w:r w:rsidR="00694C4F">
        <w:rPr>
          <w:rFonts w:ascii="Arial" w:hAnsi="Arial" w:cs="Arial"/>
          <w:color w:val="000000" w:themeColor="text1"/>
          <w:sz w:val="22"/>
          <w:szCs w:val="22"/>
        </w:rPr>
        <w:t>auch</w:t>
      </w:r>
      <w:r>
        <w:rPr>
          <w:rFonts w:ascii="Arial" w:hAnsi="Arial" w:cs="Arial"/>
          <w:color w:val="000000" w:themeColor="text1"/>
          <w:sz w:val="22"/>
          <w:szCs w:val="22"/>
        </w:rPr>
        <w:t xml:space="preserve"> aufgrund eines</w:t>
      </w:r>
      <w:r w:rsidR="00694C4F">
        <w:rPr>
          <w:rFonts w:ascii="Arial" w:hAnsi="Arial" w:cs="Arial"/>
          <w:color w:val="000000" w:themeColor="text1"/>
          <w:sz w:val="22"/>
          <w:szCs w:val="22"/>
        </w:rPr>
        <w:t xml:space="preserve"> womöglich </w:t>
      </w:r>
      <w:r>
        <w:rPr>
          <w:rFonts w:ascii="Arial" w:hAnsi="Arial" w:cs="Arial"/>
          <w:color w:val="000000" w:themeColor="text1"/>
          <w:sz w:val="22"/>
          <w:szCs w:val="22"/>
        </w:rPr>
        <w:t>länger anhaltenden „Shutdown“, einen Dämpfer erhalten. Die Auswirkungen für die Schweizer Wirtschaft würden vor allem aus e</w:t>
      </w:r>
      <w:r>
        <w:rPr>
          <w:rFonts w:ascii="Arial" w:hAnsi="Arial" w:cs="Arial"/>
          <w:color w:val="000000" w:themeColor="text1"/>
          <w:sz w:val="22"/>
          <w:szCs w:val="22"/>
        </w:rPr>
        <w:t>i</w:t>
      </w:r>
      <w:r>
        <w:rPr>
          <w:rFonts w:ascii="Arial" w:hAnsi="Arial" w:cs="Arial"/>
          <w:color w:val="000000" w:themeColor="text1"/>
          <w:sz w:val="22"/>
          <w:szCs w:val="22"/>
        </w:rPr>
        <w:t xml:space="preserve">ner geringeren internationalen Nachfrage resultieren. Zudem </w:t>
      </w:r>
      <w:r w:rsidR="00DD73CA">
        <w:rPr>
          <w:rFonts w:ascii="Arial" w:hAnsi="Arial" w:cs="Arial"/>
          <w:color w:val="000000" w:themeColor="text1"/>
          <w:sz w:val="22"/>
          <w:szCs w:val="22"/>
        </w:rPr>
        <w:t>dürfte</w:t>
      </w:r>
      <w:r>
        <w:rPr>
          <w:rFonts w:ascii="Arial" w:hAnsi="Arial" w:cs="Arial"/>
          <w:color w:val="000000" w:themeColor="text1"/>
          <w:sz w:val="22"/>
          <w:szCs w:val="22"/>
        </w:rPr>
        <w:t xml:space="preserve"> aufgrund der steigenden Unsicherheit der Aufwertungsdruck auf den Franken wieder zunehmen. Mit einer gewissen Verzögerun</w:t>
      </w:r>
      <w:r w:rsidR="00694C4F">
        <w:rPr>
          <w:rFonts w:ascii="Arial" w:hAnsi="Arial" w:cs="Arial"/>
          <w:color w:val="000000" w:themeColor="text1"/>
          <w:sz w:val="22"/>
          <w:szCs w:val="22"/>
        </w:rPr>
        <w:t>g</w:t>
      </w:r>
      <w:r>
        <w:rPr>
          <w:rFonts w:ascii="Arial" w:hAnsi="Arial" w:cs="Arial"/>
          <w:color w:val="000000" w:themeColor="text1"/>
          <w:sz w:val="22"/>
          <w:szCs w:val="22"/>
        </w:rPr>
        <w:t xml:space="preserve"> würde</w:t>
      </w:r>
      <w:r w:rsidR="005713FF">
        <w:rPr>
          <w:rFonts w:ascii="Arial" w:hAnsi="Arial" w:cs="Arial"/>
          <w:color w:val="000000" w:themeColor="text1"/>
          <w:sz w:val="22"/>
          <w:szCs w:val="22"/>
        </w:rPr>
        <w:t xml:space="preserve"> sich</w:t>
      </w:r>
      <w:r>
        <w:rPr>
          <w:rFonts w:ascii="Arial" w:hAnsi="Arial" w:cs="Arial"/>
          <w:color w:val="000000" w:themeColor="text1"/>
          <w:sz w:val="22"/>
          <w:szCs w:val="22"/>
        </w:rPr>
        <w:t xml:space="preserve"> auch das binnenwirtschaftliche Konju</w:t>
      </w:r>
      <w:r w:rsidR="00DD73CA">
        <w:rPr>
          <w:rFonts w:ascii="Arial" w:hAnsi="Arial" w:cs="Arial"/>
          <w:color w:val="000000" w:themeColor="text1"/>
          <w:sz w:val="22"/>
          <w:szCs w:val="22"/>
        </w:rPr>
        <w:t>n</w:t>
      </w:r>
      <w:r>
        <w:rPr>
          <w:rFonts w:ascii="Arial" w:hAnsi="Arial" w:cs="Arial"/>
          <w:color w:val="000000" w:themeColor="text1"/>
          <w:sz w:val="22"/>
          <w:szCs w:val="22"/>
        </w:rPr>
        <w:t>kturklima in der Schweiz a</w:t>
      </w:r>
      <w:r>
        <w:rPr>
          <w:rFonts w:ascii="Arial" w:hAnsi="Arial" w:cs="Arial"/>
          <w:color w:val="000000" w:themeColor="text1"/>
          <w:sz w:val="22"/>
          <w:szCs w:val="22"/>
        </w:rPr>
        <w:t>b</w:t>
      </w:r>
      <w:r>
        <w:rPr>
          <w:rFonts w:ascii="Arial" w:hAnsi="Arial" w:cs="Arial"/>
          <w:color w:val="000000" w:themeColor="text1"/>
          <w:sz w:val="22"/>
          <w:szCs w:val="22"/>
        </w:rPr>
        <w:t>kühlen. Somit wäre für das Schweizer BIP bis 2016 eine strukturelle Wachstumsabschw</w:t>
      </w:r>
      <w:r>
        <w:rPr>
          <w:rFonts w:ascii="Arial" w:hAnsi="Arial" w:cs="Arial"/>
          <w:color w:val="000000" w:themeColor="text1"/>
          <w:sz w:val="22"/>
          <w:szCs w:val="22"/>
        </w:rPr>
        <w:t>ä</w:t>
      </w:r>
      <w:r>
        <w:rPr>
          <w:rFonts w:ascii="Arial" w:hAnsi="Arial" w:cs="Arial"/>
          <w:color w:val="000000" w:themeColor="text1"/>
          <w:sz w:val="22"/>
          <w:szCs w:val="22"/>
        </w:rPr>
        <w:t xml:space="preserve">chung </w:t>
      </w:r>
      <w:r w:rsidR="00DD73CA">
        <w:rPr>
          <w:rFonts w:ascii="Arial" w:hAnsi="Arial" w:cs="Arial"/>
          <w:color w:val="000000" w:themeColor="text1"/>
          <w:sz w:val="22"/>
          <w:szCs w:val="22"/>
        </w:rPr>
        <w:t>zu erwarten. Im Negativszenario</w:t>
      </w:r>
      <w:r>
        <w:rPr>
          <w:rFonts w:ascii="Arial" w:hAnsi="Arial" w:cs="Arial"/>
          <w:color w:val="000000" w:themeColor="text1"/>
          <w:sz w:val="22"/>
          <w:szCs w:val="22"/>
        </w:rPr>
        <w:t xml:space="preserve"> wird mit einem BIP Wachstum von </w:t>
      </w:r>
      <w:r w:rsidRPr="00F2021A">
        <w:rPr>
          <w:rFonts w:ascii="Arial" w:hAnsi="Arial" w:cs="Arial"/>
          <w:b/>
          <w:color w:val="000000" w:themeColor="text1"/>
          <w:sz w:val="22"/>
          <w:szCs w:val="22"/>
        </w:rPr>
        <w:t>0.5%</w:t>
      </w:r>
      <w:r>
        <w:rPr>
          <w:rFonts w:ascii="Arial" w:hAnsi="Arial" w:cs="Arial"/>
          <w:color w:val="000000" w:themeColor="text1"/>
          <w:sz w:val="22"/>
          <w:szCs w:val="22"/>
        </w:rPr>
        <w:t xml:space="preserve"> gerechnet.</w:t>
      </w:r>
    </w:p>
    <w:p w:rsidR="00E638F3" w:rsidRDefault="00E638F3" w:rsidP="00BF596A">
      <w:pPr>
        <w:ind w:left="360"/>
        <w:jc w:val="both"/>
        <w:rPr>
          <w:rFonts w:ascii="Arial" w:hAnsi="Arial" w:cs="Arial"/>
          <w:color w:val="000000" w:themeColor="text1"/>
          <w:sz w:val="22"/>
          <w:szCs w:val="22"/>
        </w:rPr>
      </w:pPr>
    </w:p>
    <w:p w:rsidR="00E638F3" w:rsidRPr="00E638F3" w:rsidRDefault="00F2021A" w:rsidP="00BF596A">
      <w:pPr>
        <w:ind w:left="360"/>
        <w:jc w:val="both"/>
        <w:rPr>
          <w:rFonts w:ascii="Arial" w:hAnsi="Arial" w:cs="Arial"/>
          <w:color w:val="000000" w:themeColor="text1"/>
          <w:sz w:val="22"/>
          <w:szCs w:val="22"/>
          <w:u w:val="single"/>
        </w:rPr>
      </w:pPr>
      <w:r>
        <w:rPr>
          <w:rFonts w:ascii="Arial" w:hAnsi="Arial" w:cs="Arial"/>
          <w:color w:val="000000" w:themeColor="text1"/>
          <w:sz w:val="22"/>
          <w:szCs w:val="22"/>
          <w:u w:val="single"/>
        </w:rPr>
        <w:t>Angewand</w:t>
      </w:r>
      <w:r w:rsidR="005713FF">
        <w:rPr>
          <w:rFonts w:ascii="Arial" w:hAnsi="Arial" w:cs="Arial"/>
          <w:color w:val="000000" w:themeColor="text1"/>
          <w:sz w:val="22"/>
          <w:szCs w:val="22"/>
          <w:u w:val="single"/>
        </w:rPr>
        <w:t>t</w:t>
      </w:r>
      <w:r>
        <w:rPr>
          <w:rFonts w:ascii="Arial" w:hAnsi="Arial" w:cs="Arial"/>
          <w:color w:val="000000" w:themeColor="text1"/>
          <w:sz w:val="22"/>
          <w:szCs w:val="22"/>
          <w:u w:val="single"/>
        </w:rPr>
        <w:t>es Szenario für die Festlegung der Steuerentwicklung</w:t>
      </w:r>
    </w:p>
    <w:p w:rsidR="00BF596A" w:rsidRDefault="00BF596A" w:rsidP="00BF596A">
      <w:pPr>
        <w:ind w:left="360"/>
        <w:jc w:val="both"/>
        <w:rPr>
          <w:rFonts w:ascii="Arial" w:hAnsi="Arial" w:cs="Arial"/>
          <w:color w:val="000000" w:themeColor="text1"/>
          <w:sz w:val="22"/>
          <w:szCs w:val="22"/>
        </w:rPr>
      </w:pPr>
    </w:p>
    <w:p w:rsidR="00BF596A" w:rsidRPr="00BF596A" w:rsidRDefault="00BF596A" w:rsidP="00BF596A">
      <w:pPr>
        <w:ind w:left="360"/>
        <w:jc w:val="both"/>
        <w:rPr>
          <w:rFonts w:ascii="Arial" w:hAnsi="Arial" w:cs="Arial"/>
          <w:color w:val="000000" w:themeColor="text1"/>
          <w:sz w:val="22"/>
          <w:szCs w:val="22"/>
          <w:u w:val="single"/>
        </w:rPr>
      </w:pPr>
      <w:r>
        <w:rPr>
          <w:rFonts w:ascii="Arial" w:hAnsi="Arial" w:cs="Arial"/>
          <w:color w:val="000000" w:themeColor="text1"/>
          <w:sz w:val="22"/>
          <w:szCs w:val="22"/>
        </w:rPr>
        <w:t xml:space="preserve">Für das </w:t>
      </w:r>
      <w:r w:rsidR="00F2021A">
        <w:rPr>
          <w:rFonts w:ascii="Arial" w:hAnsi="Arial" w:cs="Arial"/>
          <w:color w:val="000000" w:themeColor="text1"/>
          <w:sz w:val="22"/>
          <w:szCs w:val="22"/>
        </w:rPr>
        <w:t>Budget</w:t>
      </w:r>
      <w:r>
        <w:rPr>
          <w:rFonts w:ascii="Arial" w:hAnsi="Arial" w:cs="Arial"/>
          <w:color w:val="000000" w:themeColor="text1"/>
          <w:sz w:val="22"/>
          <w:szCs w:val="22"/>
        </w:rPr>
        <w:t xml:space="preserve"> 2014</w:t>
      </w:r>
      <w:r w:rsidR="00E638F3">
        <w:rPr>
          <w:rFonts w:ascii="Arial" w:hAnsi="Arial" w:cs="Arial"/>
          <w:color w:val="000000" w:themeColor="text1"/>
          <w:sz w:val="22"/>
          <w:szCs w:val="22"/>
        </w:rPr>
        <w:t xml:space="preserve"> </w:t>
      </w:r>
      <w:r w:rsidR="006F33C8">
        <w:rPr>
          <w:rFonts w:ascii="Arial" w:hAnsi="Arial" w:cs="Arial"/>
          <w:color w:val="000000" w:themeColor="text1"/>
          <w:sz w:val="22"/>
          <w:szCs w:val="22"/>
        </w:rPr>
        <w:t xml:space="preserve">sowie </w:t>
      </w:r>
      <w:r w:rsidR="005552EF">
        <w:rPr>
          <w:rFonts w:ascii="Arial" w:hAnsi="Arial" w:cs="Arial"/>
          <w:color w:val="000000" w:themeColor="text1"/>
          <w:sz w:val="22"/>
          <w:szCs w:val="22"/>
        </w:rPr>
        <w:t xml:space="preserve">in </w:t>
      </w:r>
      <w:r w:rsidR="006F33C8">
        <w:rPr>
          <w:rFonts w:ascii="Arial" w:hAnsi="Arial" w:cs="Arial"/>
          <w:color w:val="000000" w:themeColor="text1"/>
          <w:sz w:val="22"/>
          <w:szCs w:val="22"/>
        </w:rPr>
        <w:t>d</w:t>
      </w:r>
      <w:r w:rsidR="00E40D0A">
        <w:rPr>
          <w:rFonts w:ascii="Arial" w:hAnsi="Arial" w:cs="Arial"/>
          <w:color w:val="000000" w:themeColor="text1"/>
          <w:sz w:val="22"/>
          <w:szCs w:val="22"/>
        </w:rPr>
        <w:t>en</w:t>
      </w:r>
      <w:r w:rsidR="006F33C8">
        <w:rPr>
          <w:rFonts w:ascii="Arial" w:hAnsi="Arial" w:cs="Arial"/>
          <w:color w:val="000000" w:themeColor="text1"/>
          <w:sz w:val="22"/>
          <w:szCs w:val="22"/>
        </w:rPr>
        <w:t xml:space="preserve"> folgenden Planjahre</w:t>
      </w:r>
      <w:r w:rsidR="00E40D0A">
        <w:rPr>
          <w:rFonts w:ascii="Arial" w:hAnsi="Arial" w:cs="Arial"/>
          <w:color w:val="000000" w:themeColor="text1"/>
          <w:sz w:val="22"/>
          <w:szCs w:val="22"/>
        </w:rPr>
        <w:t>n</w:t>
      </w:r>
      <w:r w:rsidR="006F33C8">
        <w:rPr>
          <w:rFonts w:ascii="Arial" w:hAnsi="Arial" w:cs="Arial"/>
          <w:color w:val="000000" w:themeColor="text1"/>
          <w:sz w:val="22"/>
          <w:szCs w:val="22"/>
        </w:rPr>
        <w:t xml:space="preserve"> </w:t>
      </w:r>
      <w:r>
        <w:rPr>
          <w:rFonts w:ascii="Arial" w:hAnsi="Arial" w:cs="Arial"/>
          <w:color w:val="000000" w:themeColor="text1"/>
          <w:sz w:val="22"/>
          <w:szCs w:val="22"/>
        </w:rPr>
        <w:t xml:space="preserve">rechnet der Stadtrat </w:t>
      </w:r>
      <w:r w:rsidR="00F2021A">
        <w:rPr>
          <w:rFonts w:ascii="Arial" w:hAnsi="Arial" w:cs="Arial"/>
          <w:color w:val="000000" w:themeColor="text1"/>
          <w:sz w:val="22"/>
          <w:szCs w:val="22"/>
        </w:rPr>
        <w:t>bei der Festl</w:t>
      </w:r>
      <w:r w:rsidR="00F2021A">
        <w:rPr>
          <w:rFonts w:ascii="Arial" w:hAnsi="Arial" w:cs="Arial"/>
          <w:color w:val="000000" w:themeColor="text1"/>
          <w:sz w:val="22"/>
          <w:szCs w:val="22"/>
        </w:rPr>
        <w:t>e</w:t>
      </w:r>
      <w:r w:rsidR="00F2021A">
        <w:rPr>
          <w:rFonts w:ascii="Arial" w:hAnsi="Arial" w:cs="Arial"/>
          <w:color w:val="000000" w:themeColor="text1"/>
          <w:sz w:val="22"/>
          <w:szCs w:val="22"/>
        </w:rPr>
        <w:t xml:space="preserve">gung der Steuerwachstumsrate </w:t>
      </w:r>
      <w:r w:rsidR="00E638F3">
        <w:rPr>
          <w:rFonts w:ascii="Arial" w:hAnsi="Arial" w:cs="Arial"/>
          <w:color w:val="000000" w:themeColor="text1"/>
          <w:sz w:val="22"/>
          <w:szCs w:val="22"/>
        </w:rPr>
        <w:t xml:space="preserve">mit einem </w:t>
      </w:r>
      <w:r w:rsidR="006F33C8">
        <w:rPr>
          <w:rFonts w:ascii="Arial" w:hAnsi="Arial" w:cs="Arial"/>
          <w:color w:val="000000" w:themeColor="text1"/>
          <w:sz w:val="22"/>
          <w:szCs w:val="22"/>
        </w:rPr>
        <w:t xml:space="preserve">Mix der </w:t>
      </w:r>
      <w:r w:rsidR="00F2021A">
        <w:rPr>
          <w:rFonts w:ascii="Arial" w:hAnsi="Arial" w:cs="Arial"/>
          <w:color w:val="000000" w:themeColor="text1"/>
          <w:sz w:val="22"/>
          <w:szCs w:val="22"/>
        </w:rPr>
        <w:t>KOF, SECO und BAKBASEL-Prognosen und legt das Wachstum auf jährlich</w:t>
      </w:r>
      <w:r w:rsidR="006F33C8">
        <w:rPr>
          <w:rFonts w:ascii="Arial" w:hAnsi="Arial" w:cs="Arial"/>
          <w:color w:val="000000" w:themeColor="text1"/>
          <w:sz w:val="22"/>
          <w:szCs w:val="22"/>
        </w:rPr>
        <w:t xml:space="preserve"> </w:t>
      </w:r>
      <w:r w:rsidR="006F33C8" w:rsidRPr="006F33C8">
        <w:rPr>
          <w:rFonts w:ascii="Arial" w:hAnsi="Arial" w:cs="Arial"/>
          <w:b/>
          <w:color w:val="000000" w:themeColor="text1"/>
          <w:sz w:val="22"/>
          <w:szCs w:val="22"/>
        </w:rPr>
        <w:t>1.5</w:t>
      </w:r>
      <w:r w:rsidR="00694C4F">
        <w:rPr>
          <w:rFonts w:ascii="Arial" w:hAnsi="Arial" w:cs="Arial"/>
          <w:b/>
          <w:color w:val="000000" w:themeColor="text1"/>
          <w:sz w:val="22"/>
          <w:szCs w:val="22"/>
        </w:rPr>
        <w:t>0</w:t>
      </w:r>
      <w:r w:rsidR="006F33C8" w:rsidRPr="006F33C8">
        <w:rPr>
          <w:rFonts w:ascii="Arial" w:hAnsi="Arial" w:cs="Arial"/>
          <w:b/>
          <w:color w:val="000000" w:themeColor="text1"/>
          <w:sz w:val="22"/>
          <w:szCs w:val="22"/>
        </w:rPr>
        <w:t>%</w:t>
      </w:r>
      <w:r w:rsidR="00E40D0A">
        <w:rPr>
          <w:rFonts w:ascii="Arial" w:hAnsi="Arial" w:cs="Arial"/>
          <w:b/>
          <w:color w:val="000000" w:themeColor="text1"/>
          <w:sz w:val="22"/>
          <w:szCs w:val="22"/>
        </w:rPr>
        <w:t xml:space="preserve"> </w:t>
      </w:r>
      <w:r w:rsidR="00F2021A">
        <w:rPr>
          <w:rFonts w:ascii="Arial" w:hAnsi="Arial" w:cs="Arial"/>
          <w:color w:val="000000" w:themeColor="text1"/>
          <w:sz w:val="22"/>
          <w:szCs w:val="22"/>
        </w:rPr>
        <w:t>fest</w:t>
      </w:r>
      <w:r w:rsidR="006F33C8" w:rsidRPr="00E40D0A">
        <w:rPr>
          <w:rFonts w:ascii="Arial" w:hAnsi="Arial" w:cs="Arial"/>
          <w:color w:val="000000" w:themeColor="text1"/>
          <w:sz w:val="22"/>
          <w:szCs w:val="22"/>
        </w:rPr>
        <w:t>.</w:t>
      </w:r>
    </w:p>
    <w:p w:rsidR="00BF596A" w:rsidRDefault="00BF596A" w:rsidP="00BF596A">
      <w:pPr>
        <w:jc w:val="both"/>
        <w:rPr>
          <w:rFonts w:ascii="Arial" w:hAnsi="Arial" w:cs="Arial"/>
          <w:color w:val="000000" w:themeColor="text1"/>
          <w:sz w:val="22"/>
          <w:szCs w:val="22"/>
        </w:rPr>
      </w:pPr>
    </w:p>
    <w:p w:rsidR="003D2875" w:rsidRDefault="003D2875">
      <w:pPr>
        <w:overflowPunct/>
        <w:autoSpaceDE/>
        <w:autoSpaceDN/>
        <w:adjustRightInd/>
        <w:textAlignment w:val="auto"/>
        <w:rPr>
          <w:rFonts w:ascii="Arial" w:hAnsi="Arial" w:cs="Arial"/>
          <w:sz w:val="22"/>
        </w:rPr>
      </w:pPr>
      <w:r>
        <w:br w:type="page"/>
      </w:r>
    </w:p>
    <w:p w:rsidR="00486BD0" w:rsidRDefault="00486BD0" w:rsidP="00486BD0">
      <w:pPr>
        <w:numPr>
          <w:ilvl w:val="12"/>
          <w:numId w:val="0"/>
        </w:numPr>
        <w:jc w:val="both"/>
        <w:rPr>
          <w:rFonts w:ascii="Arial" w:hAnsi="Arial" w:cs="Arial"/>
          <w:b/>
          <w:bCs/>
          <w:sz w:val="22"/>
        </w:rPr>
      </w:pPr>
      <w:r>
        <w:rPr>
          <w:rFonts w:ascii="Arial" w:hAnsi="Arial" w:cs="Arial"/>
          <w:b/>
          <w:bCs/>
          <w:sz w:val="22"/>
        </w:rPr>
        <w:lastRenderedPageBreak/>
        <w:t>5.  Ergebnisse im Finanzplan</w:t>
      </w:r>
    </w:p>
    <w:p w:rsidR="00486BD0" w:rsidRDefault="00486BD0" w:rsidP="00486BD0">
      <w:pPr>
        <w:numPr>
          <w:ilvl w:val="12"/>
          <w:numId w:val="0"/>
        </w:numPr>
        <w:jc w:val="both"/>
        <w:rPr>
          <w:rFonts w:ascii="Arial" w:hAnsi="Arial" w:cs="Arial"/>
          <w:sz w:val="22"/>
        </w:rPr>
      </w:pPr>
    </w:p>
    <w:p w:rsidR="006F33C8" w:rsidRDefault="006F33C8" w:rsidP="00D45320">
      <w:pPr>
        <w:numPr>
          <w:ilvl w:val="12"/>
          <w:numId w:val="0"/>
        </w:numPr>
        <w:jc w:val="both"/>
        <w:rPr>
          <w:rFonts w:ascii="Arial" w:hAnsi="Arial" w:cs="Arial"/>
          <w:sz w:val="22"/>
        </w:rPr>
      </w:pPr>
      <w:r>
        <w:rPr>
          <w:rFonts w:ascii="Arial" w:hAnsi="Arial" w:cs="Arial"/>
          <w:sz w:val="22"/>
        </w:rPr>
        <w:t xml:space="preserve">Aufgrund </w:t>
      </w:r>
      <w:r w:rsidR="00CE725F">
        <w:rPr>
          <w:rFonts w:ascii="Arial" w:hAnsi="Arial" w:cs="Arial"/>
          <w:sz w:val="22"/>
        </w:rPr>
        <w:t>des erwähnten</w:t>
      </w:r>
      <w:r>
        <w:rPr>
          <w:rFonts w:ascii="Arial" w:hAnsi="Arial" w:cs="Arial"/>
          <w:sz w:val="22"/>
        </w:rPr>
        <w:t xml:space="preserve"> Steuerausfalls bei den juristischen Personen </w:t>
      </w:r>
      <w:r w:rsidR="007D2761">
        <w:rPr>
          <w:rFonts w:ascii="Arial" w:hAnsi="Arial" w:cs="Arial"/>
          <w:sz w:val="22"/>
        </w:rPr>
        <w:t>müssen</w:t>
      </w:r>
      <w:r>
        <w:rPr>
          <w:rFonts w:ascii="Arial" w:hAnsi="Arial" w:cs="Arial"/>
          <w:sz w:val="22"/>
        </w:rPr>
        <w:t xml:space="preserve"> im Gegensatz zu den Vorjahren die bisher geltenden Grundsätze</w:t>
      </w:r>
      <w:r w:rsidR="0094081A">
        <w:rPr>
          <w:rFonts w:ascii="Arial" w:hAnsi="Arial" w:cs="Arial"/>
          <w:sz w:val="22"/>
        </w:rPr>
        <w:t xml:space="preserve"> z.B. im Bezug auf Abschreibungen</w:t>
      </w:r>
      <w:r>
        <w:rPr>
          <w:rFonts w:ascii="Arial" w:hAnsi="Arial" w:cs="Arial"/>
          <w:sz w:val="22"/>
        </w:rPr>
        <w:t xml:space="preserve"> angepasst werden. </w:t>
      </w:r>
    </w:p>
    <w:p w:rsidR="006F33C8" w:rsidRDefault="006F33C8" w:rsidP="00D45320">
      <w:pPr>
        <w:numPr>
          <w:ilvl w:val="12"/>
          <w:numId w:val="0"/>
        </w:numPr>
        <w:jc w:val="both"/>
        <w:rPr>
          <w:rFonts w:ascii="Arial" w:hAnsi="Arial" w:cs="Arial"/>
          <w:sz w:val="22"/>
        </w:rPr>
      </w:pPr>
    </w:p>
    <w:p w:rsidR="00CE725F" w:rsidRDefault="006F33C8" w:rsidP="00D45320">
      <w:pPr>
        <w:numPr>
          <w:ilvl w:val="12"/>
          <w:numId w:val="0"/>
        </w:numPr>
        <w:jc w:val="both"/>
        <w:rPr>
          <w:rFonts w:ascii="Arial" w:hAnsi="Arial" w:cs="Arial"/>
          <w:sz w:val="22"/>
        </w:rPr>
      </w:pPr>
      <w:r>
        <w:rPr>
          <w:rFonts w:ascii="Arial" w:hAnsi="Arial" w:cs="Arial"/>
          <w:sz w:val="22"/>
        </w:rPr>
        <w:t xml:space="preserve">Als erste Reaktion auf </w:t>
      </w:r>
      <w:r w:rsidR="00F2386C">
        <w:rPr>
          <w:rFonts w:ascii="Arial" w:hAnsi="Arial" w:cs="Arial"/>
          <w:sz w:val="22"/>
        </w:rPr>
        <w:t>de</w:t>
      </w:r>
      <w:r w:rsidR="006500AB">
        <w:rPr>
          <w:rFonts w:ascii="Arial" w:hAnsi="Arial" w:cs="Arial"/>
          <w:sz w:val="22"/>
        </w:rPr>
        <w:t>n</w:t>
      </w:r>
      <w:r w:rsidR="00F2386C">
        <w:rPr>
          <w:rFonts w:ascii="Arial" w:hAnsi="Arial" w:cs="Arial"/>
          <w:sz w:val="22"/>
        </w:rPr>
        <w:t xml:space="preserve"> Steuerausfall muss das primäre Ziel sein, zumindest einen Selbstf</w:t>
      </w:r>
      <w:r w:rsidR="00F2386C">
        <w:rPr>
          <w:rFonts w:ascii="Arial" w:hAnsi="Arial" w:cs="Arial"/>
          <w:sz w:val="22"/>
        </w:rPr>
        <w:t>i</w:t>
      </w:r>
      <w:r w:rsidR="00F2386C">
        <w:rPr>
          <w:rFonts w:ascii="Arial" w:hAnsi="Arial" w:cs="Arial"/>
          <w:sz w:val="22"/>
        </w:rPr>
        <w:t>nanzierungsgrad</w:t>
      </w:r>
      <w:r w:rsidR="00982A8C">
        <w:rPr>
          <w:rFonts w:ascii="Arial" w:hAnsi="Arial" w:cs="Arial"/>
          <w:sz w:val="22"/>
        </w:rPr>
        <w:t xml:space="preserve"> von</w:t>
      </w:r>
      <w:r w:rsidR="00F2386C">
        <w:rPr>
          <w:rFonts w:ascii="Arial" w:hAnsi="Arial" w:cs="Arial"/>
          <w:sz w:val="22"/>
        </w:rPr>
        <w:t xml:space="preserve"> 0% zu erreichen</w:t>
      </w:r>
      <w:r w:rsidR="00CE725F">
        <w:rPr>
          <w:rFonts w:ascii="Arial" w:hAnsi="Arial" w:cs="Arial"/>
          <w:sz w:val="22"/>
        </w:rPr>
        <w:t xml:space="preserve">. </w:t>
      </w:r>
      <w:r w:rsidR="00F2386C">
        <w:rPr>
          <w:rFonts w:ascii="Arial" w:hAnsi="Arial" w:cs="Arial"/>
          <w:sz w:val="22"/>
        </w:rPr>
        <w:t xml:space="preserve"> </w:t>
      </w:r>
      <w:r w:rsidR="00CE725F">
        <w:rPr>
          <w:rFonts w:ascii="Arial" w:hAnsi="Arial" w:cs="Arial"/>
          <w:sz w:val="22"/>
        </w:rPr>
        <w:t>D</w:t>
      </w:r>
      <w:r w:rsidR="00F2386C">
        <w:rPr>
          <w:rFonts w:ascii="Arial" w:hAnsi="Arial" w:cs="Arial"/>
          <w:sz w:val="22"/>
        </w:rPr>
        <w:t>amit ist sichergestellt, dass die Gemeinde für den la</w:t>
      </w:r>
      <w:r w:rsidR="00F2386C">
        <w:rPr>
          <w:rFonts w:ascii="Arial" w:hAnsi="Arial" w:cs="Arial"/>
          <w:sz w:val="22"/>
        </w:rPr>
        <w:t>u</w:t>
      </w:r>
      <w:r w:rsidR="00F2386C">
        <w:rPr>
          <w:rFonts w:ascii="Arial" w:hAnsi="Arial" w:cs="Arial"/>
          <w:sz w:val="22"/>
        </w:rPr>
        <w:t>fenden Betrieb nicht mehr Geld ausgibt</w:t>
      </w:r>
      <w:r w:rsidR="005552EF">
        <w:rPr>
          <w:rFonts w:ascii="Arial" w:hAnsi="Arial" w:cs="Arial"/>
          <w:sz w:val="22"/>
        </w:rPr>
        <w:t>,</w:t>
      </w:r>
      <w:r w:rsidR="00F2386C">
        <w:rPr>
          <w:rFonts w:ascii="Arial" w:hAnsi="Arial" w:cs="Arial"/>
          <w:sz w:val="22"/>
        </w:rPr>
        <w:t xml:space="preserve"> als sie einnimmt.</w:t>
      </w:r>
      <w:r w:rsidR="00CE725F">
        <w:rPr>
          <w:rFonts w:ascii="Arial" w:hAnsi="Arial" w:cs="Arial"/>
          <w:sz w:val="22"/>
        </w:rPr>
        <w:t xml:space="preserve"> Auch die Umsetzung des angestre</w:t>
      </w:r>
      <w:r w:rsidR="00CE725F">
        <w:rPr>
          <w:rFonts w:ascii="Arial" w:hAnsi="Arial" w:cs="Arial"/>
          <w:sz w:val="22"/>
        </w:rPr>
        <w:t>b</w:t>
      </w:r>
      <w:r w:rsidR="00CE725F">
        <w:rPr>
          <w:rFonts w:ascii="Arial" w:hAnsi="Arial" w:cs="Arial"/>
          <w:sz w:val="22"/>
        </w:rPr>
        <w:t>ten Entlastungspaketes kann im Jahr 2014 nicht in vollem Umfang zur Deckung des Kapitalb</w:t>
      </w:r>
      <w:r w:rsidR="00CE725F">
        <w:rPr>
          <w:rFonts w:ascii="Arial" w:hAnsi="Arial" w:cs="Arial"/>
          <w:sz w:val="22"/>
        </w:rPr>
        <w:t>e</w:t>
      </w:r>
      <w:r w:rsidR="00CE725F">
        <w:rPr>
          <w:rFonts w:ascii="Arial" w:hAnsi="Arial" w:cs="Arial"/>
          <w:sz w:val="22"/>
        </w:rPr>
        <w:t>darfs beitragen, sind doch gewisse Leistungsvereinbarungen nicht per Ende 2013 kündbar.</w:t>
      </w:r>
    </w:p>
    <w:p w:rsidR="00CE725F" w:rsidRDefault="00CE725F" w:rsidP="00D45320">
      <w:pPr>
        <w:numPr>
          <w:ilvl w:val="12"/>
          <w:numId w:val="0"/>
        </w:numPr>
        <w:jc w:val="both"/>
        <w:rPr>
          <w:rFonts w:ascii="Arial" w:hAnsi="Arial" w:cs="Arial"/>
          <w:sz w:val="22"/>
        </w:rPr>
      </w:pPr>
    </w:p>
    <w:p w:rsidR="006F33C8" w:rsidRDefault="00CE725F" w:rsidP="00D45320">
      <w:pPr>
        <w:numPr>
          <w:ilvl w:val="12"/>
          <w:numId w:val="0"/>
        </w:numPr>
        <w:jc w:val="both"/>
        <w:rPr>
          <w:rFonts w:ascii="Arial" w:hAnsi="Arial" w:cs="Arial"/>
          <w:sz w:val="22"/>
        </w:rPr>
      </w:pPr>
      <w:r>
        <w:rPr>
          <w:rFonts w:ascii="Arial" w:hAnsi="Arial" w:cs="Arial"/>
          <w:sz w:val="22"/>
        </w:rPr>
        <w:t>S</w:t>
      </w:r>
      <w:r w:rsidR="00F2386C">
        <w:rPr>
          <w:rFonts w:ascii="Arial" w:hAnsi="Arial" w:cs="Arial"/>
          <w:sz w:val="22"/>
        </w:rPr>
        <w:t xml:space="preserve">ämtliche Investitionen </w:t>
      </w:r>
      <w:r>
        <w:rPr>
          <w:rFonts w:ascii="Arial" w:hAnsi="Arial" w:cs="Arial"/>
          <w:sz w:val="22"/>
        </w:rPr>
        <w:t xml:space="preserve">müssen </w:t>
      </w:r>
      <w:r w:rsidR="00DD73CA">
        <w:rPr>
          <w:rFonts w:ascii="Arial" w:hAnsi="Arial" w:cs="Arial"/>
          <w:sz w:val="22"/>
        </w:rPr>
        <w:t>zurzeit</w:t>
      </w:r>
      <w:r>
        <w:rPr>
          <w:rFonts w:ascii="Arial" w:hAnsi="Arial" w:cs="Arial"/>
          <w:sz w:val="22"/>
        </w:rPr>
        <w:t xml:space="preserve"> </w:t>
      </w:r>
      <w:r w:rsidR="00F2386C">
        <w:rPr>
          <w:rFonts w:ascii="Arial" w:hAnsi="Arial" w:cs="Arial"/>
          <w:sz w:val="22"/>
        </w:rPr>
        <w:t xml:space="preserve">fremdfinanziert werden. Zur Erreichung einer </w:t>
      </w:r>
      <w:r w:rsidR="00741369">
        <w:rPr>
          <w:rFonts w:ascii="Arial" w:hAnsi="Arial" w:cs="Arial"/>
          <w:sz w:val="22"/>
        </w:rPr>
        <w:t>tragfähigen Rechnung</w:t>
      </w:r>
      <w:r w:rsidR="00F2386C">
        <w:rPr>
          <w:rFonts w:ascii="Arial" w:hAnsi="Arial" w:cs="Arial"/>
          <w:sz w:val="22"/>
        </w:rPr>
        <w:t xml:space="preserve"> muss der Steuerfuss zwingend angehoben werden.</w:t>
      </w:r>
      <w:r w:rsidR="00CF674D">
        <w:rPr>
          <w:rFonts w:ascii="Arial" w:hAnsi="Arial" w:cs="Arial"/>
          <w:sz w:val="22"/>
        </w:rPr>
        <w:t xml:space="preserve"> Der Stadtrat schlägt deshalb die Erhöhung des Steuerfusses auf 115% </w:t>
      </w:r>
      <w:r w:rsidR="005552EF">
        <w:rPr>
          <w:rFonts w:ascii="Arial" w:hAnsi="Arial" w:cs="Arial"/>
          <w:sz w:val="22"/>
        </w:rPr>
        <w:t>vor</w:t>
      </w:r>
      <w:r w:rsidR="00CF674D">
        <w:rPr>
          <w:rFonts w:ascii="Arial" w:hAnsi="Arial" w:cs="Arial"/>
          <w:sz w:val="22"/>
        </w:rPr>
        <w:t xml:space="preserve">. Der Steuerfuss ist immer </w:t>
      </w:r>
      <w:r w:rsidR="00727881">
        <w:rPr>
          <w:rFonts w:ascii="Arial" w:hAnsi="Arial" w:cs="Arial"/>
          <w:sz w:val="22"/>
        </w:rPr>
        <w:t xml:space="preserve">noch </w:t>
      </w:r>
      <w:r w:rsidR="00CF674D">
        <w:rPr>
          <w:rFonts w:ascii="Arial" w:hAnsi="Arial" w:cs="Arial"/>
          <w:sz w:val="22"/>
        </w:rPr>
        <w:t>unter dem durc</w:t>
      </w:r>
      <w:r w:rsidR="00CF674D">
        <w:rPr>
          <w:rFonts w:ascii="Arial" w:hAnsi="Arial" w:cs="Arial"/>
          <w:sz w:val="22"/>
        </w:rPr>
        <w:t>h</w:t>
      </w:r>
      <w:r w:rsidR="00CF674D">
        <w:rPr>
          <w:rFonts w:ascii="Arial" w:hAnsi="Arial" w:cs="Arial"/>
          <w:sz w:val="22"/>
        </w:rPr>
        <w:t xml:space="preserve">schnittlichen Steuerfuss der </w:t>
      </w:r>
      <w:r w:rsidR="00DD73CA">
        <w:rPr>
          <w:rFonts w:ascii="Arial" w:hAnsi="Arial" w:cs="Arial"/>
          <w:sz w:val="22"/>
        </w:rPr>
        <w:t>Solothurner</w:t>
      </w:r>
      <w:r w:rsidR="00CF674D">
        <w:rPr>
          <w:rFonts w:ascii="Arial" w:hAnsi="Arial" w:cs="Arial"/>
          <w:sz w:val="22"/>
        </w:rPr>
        <w:t xml:space="preserve"> Gemeinden von 118</w:t>
      </w:r>
      <w:r w:rsidR="00727881">
        <w:rPr>
          <w:rFonts w:ascii="Arial" w:hAnsi="Arial" w:cs="Arial"/>
          <w:sz w:val="22"/>
        </w:rPr>
        <w:t>.1</w:t>
      </w:r>
      <w:r w:rsidR="00CF674D">
        <w:rPr>
          <w:rFonts w:ascii="Arial" w:hAnsi="Arial" w:cs="Arial"/>
          <w:sz w:val="22"/>
        </w:rPr>
        <w:t>%</w:t>
      </w:r>
      <w:r w:rsidR="00727881">
        <w:rPr>
          <w:rFonts w:ascii="Arial" w:hAnsi="Arial" w:cs="Arial"/>
          <w:sz w:val="22"/>
        </w:rPr>
        <w:t xml:space="preserve"> (Erhebung Jahr 2013, einf</w:t>
      </w:r>
      <w:r w:rsidR="00727881">
        <w:rPr>
          <w:rFonts w:ascii="Arial" w:hAnsi="Arial" w:cs="Arial"/>
          <w:sz w:val="22"/>
        </w:rPr>
        <w:t>a</w:t>
      </w:r>
      <w:r w:rsidR="00727881">
        <w:rPr>
          <w:rFonts w:ascii="Arial" w:hAnsi="Arial" w:cs="Arial"/>
          <w:sz w:val="22"/>
        </w:rPr>
        <w:t>ches arithmetisches Mittel)</w:t>
      </w:r>
      <w:r w:rsidR="00CF674D">
        <w:rPr>
          <w:rFonts w:ascii="Arial" w:hAnsi="Arial" w:cs="Arial"/>
          <w:sz w:val="22"/>
        </w:rPr>
        <w:t>.</w:t>
      </w:r>
    </w:p>
    <w:p w:rsidR="00F2386C" w:rsidRDefault="00F2386C" w:rsidP="00D45320">
      <w:pPr>
        <w:numPr>
          <w:ilvl w:val="12"/>
          <w:numId w:val="0"/>
        </w:numPr>
        <w:jc w:val="both"/>
        <w:rPr>
          <w:rFonts w:ascii="Arial" w:hAnsi="Arial" w:cs="Arial"/>
          <w:sz w:val="22"/>
        </w:rPr>
      </w:pPr>
    </w:p>
    <w:p w:rsidR="00F2386C" w:rsidRDefault="006C2B3B" w:rsidP="00D45320">
      <w:pPr>
        <w:numPr>
          <w:ilvl w:val="12"/>
          <w:numId w:val="0"/>
        </w:numPr>
        <w:jc w:val="both"/>
        <w:rPr>
          <w:rFonts w:ascii="Arial" w:hAnsi="Arial" w:cs="Arial"/>
          <w:sz w:val="22"/>
        </w:rPr>
      </w:pPr>
      <w:r>
        <w:rPr>
          <w:rFonts w:ascii="Arial" w:hAnsi="Arial" w:cs="Arial"/>
          <w:sz w:val="22"/>
        </w:rPr>
        <w:t>In einem zweiten</w:t>
      </w:r>
      <w:r w:rsidR="00F2386C">
        <w:rPr>
          <w:rFonts w:ascii="Arial" w:hAnsi="Arial" w:cs="Arial"/>
          <w:sz w:val="22"/>
        </w:rPr>
        <w:t xml:space="preserve"> Schritt müssen sämtliche Investitionen</w:t>
      </w:r>
      <w:r w:rsidR="007D2761">
        <w:rPr>
          <w:rFonts w:ascii="Arial" w:hAnsi="Arial" w:cs="Arial"/>
          <w:sz w:val="22"/>
        </w:rPr>
        <w:t>,</w:t>
      </w:r>
      <w:r w:rsidR="00F2386C">
        <w:rPr>
          <w:rFonts w:ascii="Arial" w:hAnsi="Arial" w:cs="Arial"/>
          <w:sz w:val="22"/>
        </w:rPr>
        <w:t xml:space="preserve"> we</w:t>
      </w:r>
      <w:r w:rsidR="007D2761">
        <w:rPr>
          <w:rFonts w:ascii="Arial" w:hAnsi="Arial" w:cs="Arial"/>
          <w:sz w:val="22"/>
        </w:rPr>
        <w:t>l</w:t>
      </w:r>
      <w:r w:rsidR="00F2386C">
        <w:rPr>
          <w:rFonts w:ascii="Arial" w:hAnsi="Arial" w:cs="Arial"/>
          <w:sz w:val="22"/>
        </w:rPr>
        <w:t>che dem Werterhalt dienen</w:t>
      </w:r>
      <w:r>
        <w:rPr>
          <w:rFonts w:ascii="Arial" w:hAnsi="Arial" w:cs="Arial"/>
          <w:sz w:val="22"/>
        </w:rPr>
        <w:t xml:space="preserve"> (Kat</w:t>
      </w:r>
      <w:r>
        <w:rPr>
          <w:rFonts w:ascii="Arial" w:hAnsi="Arial" w:cs="Arial"/>
          <w:sz w:val="22"/>
        </w:rPr>
        <w:t>e</w:t>
      </w:r>
      <w:r>
        <w:rPr>
          <w:rFonts w:ascii="Arial" w:hAnsi="Arial" w:cs="Arial"/>
          <w:sz w:val="22"/>
        </w:rPr>
        <w:t>gorie A)</w:t>
      </w:r>
      <w:r w:rsidR="00F2386C">
        <w:rPr>
          <w:rFonts w:ascii="Arial" w:hAnsi="Arial" w:cs="Arial"/>
          <w:sz w:val="22"/>
        </w:rPr>
        <w:t xml:space="preserve"> aus den eigenen Mitteln finanziert werden.</w:t>
      </w:r>
      <w:r>
        <w:rPr>
          <w:rFonts w:ascii="Arial" w:hAnsi="Arial" w:cs="Arial"/>
          <w:sz w:val="22"/>
        </w:rPr>
        <w:t xml:space="preserve"> Ein Ziel muss es sein</w:t>
      </w:r>
      <w:r w:rsidR="007D2761">
        <w:rPr>
          <w:rFonts w:ascii="Arial" w:hAnsi="Arial" w:cs="Arial"/>
          <w:sz w:val="22"/>
        </w:rPr>
        <w:t>,</w:t>
      </w:r>
      <w:r>
        <w:rPr>
          <w:rFonts w:ascii="Arial" w:hAnsi="Arial" w:cs="Arial"/>
          <w:sz w:val="22"/>
        </w:rPr>
        <w:t xml:space="preserve"> dies ab dem Jahr 2</w:t>
      </w:r>
      <w:r w:rsidRPr="00727881">
        <w:rPr>
          <w:rFonts w:ascii="Arial" w:hAnsi="Arial" w:cs="Arial"/>
          <w:sz w:val="22"/>
        </w:rPr>
        <w:t>0</w:t>
      </w:r>
      <w:r w:rsidR="00727881" w:rsidRPr="00727881">
        <w:rPr>
          <w:rFonts w:ascii="Arial" w:hAnsi="Arial" w:cs="Arial"/>
          <w:sz w:val="22"/>
        </w:rPr>
        <w:t>16</w:t>
      </w:r>
      <w:r w:rsidRPr="0094081A">
        <w:rPr>
          <w:rFonts w:ascii="Arial" w:hAnsi="Arial" w:cs="Arial"/>
          <w:b/>
          <w:color w:val="FF0000"/>
          <w:sz w:val="22"/>
        </w:rPr>
        <w:t xml:space="preserve"> </w:t>
      </w:r>
      <w:r>
        <w:rPr>
          <w:rFonts w:ascii="Arial" w:hAnsi="Arial" w:cs="Arial"/>
          <w:sz w:val="22"/>
        </w:rPr>
        <w:t>wieder möglich zu machen.</w:t>
      </w:r>
    </w:p>
    <w:p w:rsidR="00F2386C" w:rsidRDefault="00F2386C" w:rsidP="00D45320">
      <w:pPr>
        <w:numPr>
          <w:ilvl w:val="12"/>
          <w:numId w:val="0"/>
        </w:numPr>
        <w:jc w:val="both"/>
        <w:rPr>
          <w:rFonts w:ascii="Arial" w:hAnsi="Arial" w:cs="Arial"/>
          <w:sz w:val="22"/>
        </w:rPr>
      </w:pPr>
    </w:p>
    <w:p w:rsidR="00486BD0" w:rsidRDefault="00F2386C" w:rsidP="00D45320">
      <w:pPr>
        <w:numPr>
          <w:ilvl w:val="12"/>
          <w:numId w:val="0"/>
        </w:numPr>
        <w:jc w:val="both"/>
        <w:rPr>
          <w:rFonts w:ascii="Arial" w:hAnsi="Arial" w:cs="Arial"/>
          <w:sz w:val="22"/>
          <w:szCs w:val="22"/>
        </w:rPr>
      </w:pPr>
      <w:r>
        <w:rPr>
          <w:rFonts w:ascii="Arial" w:hAnsi="Arial" w:cs="Arial"/>
          <w:sz w:val="22"/>
        </w:rPr>
        <w:t xml:space="preserve">In einem </w:t>
      </w:r>
      <w:r w:rsidR="005552EF">
        <w:rPr>
          <w:rFonts w:ascii="Arial" w:hAnsi="Arial" w:cs="Arial"/>
          <w:sz w:val="22"/>
        </w:rPr>
        <w:t xml:space="preserve">dritten </w:t>
      </w:r>
      <w:r>
        <w:rPr>
          <w:rFonts w:ascii="Arial" w:hAnsi="Arial" w:cs="Arial"/>
          <w:sz w:val="22"/>
        </w:rPr>
        <w:t>Schritt soll dann wieder eine gesunde Selbstfinanzierung von 100% angestrebt werden.</w:t>
      </w:r>
      <w:r w:rsidR="006C2B3B">
        <w:rPr>
          <w:rFonts w:ascii="Arial" w:hAnsi="Arial" w:cs="Arial"/>
          <w:sz w:val="22"/>
        </w:rPr>
        <w:t xml:space="preserve"> </w:t>
      </w:r>
      <w:r w:rsidR="00486BD0" w:rsidRPr="00D45320">
        <w:rPr>
          <w:rFonts w:ascii="Arial" w:hAnsi="Arial" w:cs="Arial"/>
          <w:sz w:val="22"/>
          <w:szCs w:val="22"/>
        </w:rPr>
        <w:t>Je nach Konjunkturlage gelten die allgemein anerkannten Richtwerte für die Konjun</w:t>
      </w:r>
      <w:r w:rsidR="00486BD0" w:rsidRPr="00D45320">
        <w:rPr>
          <w:rFonts w:ascii="Arial" w:hAnsi="Arial" w:cs="Arial"/>
          <w:sz w:val="22"/>
          <w:szCs w:val="22"/>
        </w:rPr>
        <w:t>k</w:t>
      </w:r>
      <w:r w:rsidR="00486BD0" w:rsidRPr="00D45320">
        <w:rPr>
          <w:rFonts w:ascii="Arial" w:hAnsi="Arial" w:cs="Arial"/>
          <w:sz w:val="22"/>
          <w:szCs w:val="22"/>
        </w:rPr>
        <w:t>turzyklen</w:t>
      </w:r>
    </w:p>
    <w:p w:rsidR="00F2386C" w:rsidRPr="00D45320" w:rsidRDefault="00F2386C" w:rsidP="00D45320">
      <w:pPr>
        <w:numPr>
          <w:ilvl w:val="12"/>
          <w:numId w:val="0"/>
        </w:numPr>
        <w:jc w:val="both"/>
        <w:rPr>
          <w:rFonts w:ascii="Arial" w:hAnsi="Arial" w:cs="Arial"/>
          <w:sz w:val="22"/>
        </w:rPr>
      </w:pPr>
    </w:p>
    <w:p w:rsidR="00486BD0" w:rsidRPr="007839F4" w:rsidRDefault="00486BD0" w:rsidP="00486BD0">
      <w:pPr>
        <w:pStyle w:val="Textkrper3"/>
        <w:numPr>
          <w:ilvl w:val="12"/>
          <w:numId w:val="0"/>
        </w:numPr>
        <w:rPr>
          <w:sz w:val="8"/>
          <w:szCs w:val="8"/>
        </w:rPr>
      </w:pPr>
    </w:p>
    <w:tbl>
      <w:tblPr>
        <w:tblW w:w="0" w:type="auto"/>
        <w:tblBorders>
          <w:top w:val="single" w:sz="8" w:space="0" w:color="000000"/>
          <w:bottom w:val="single" w:sz="8" w:space="0" w:color="000000"/>
        </w:tblBorders>
        <w:tblLook w:val="04A0"/>
      </w:tblPr>
      <w:tblGrid>
        <w:gridCol w:w="2410"/>
        <w:gridCol w:w="3085"/>
      </w:tblGrid>
      <w:tr w:rsidR="00CF08ED" w:rsidRPr="00312948" w:rsidTr="0094081A">
        <w:tc>
          <w:tcPr>
            <w:tcW w:w="2410" w:type="dxa"/>
            <w:tcBorders>
              <w:top w:val="single" w:sz="8" w:space="0" w:color="000000"/>
              <w:left w:val="nil"/>
              <w:bottom w:val="nil"/>
              <w:right w:val="nil"/>
            </w:tcBorders>
          </w:tcPr>
          <w:p w:rsidR="00CF08ED" w:rsidRPr="00312948" w:rsidRDefault="00CF08ED" w:rsidP="00485065">
            <w:pPr>
              <w:pStyle w:val="Textkrper3"/>
              <w:numPr>
                <w:ilvl w:val="12"/>
                <w:numId w:val="0"/>
              </w:numPr>
              <w:rPr>
                <w:bCs/>
                <w:color w:val="000000"/>
              </w:rPr>
            </w:pPr>
            <w:r w:rsidRPr="00312948">
              <w:rPr>
                <w:bCs/>
                <w:color w:val="000000"/>
              </w:rPr>
              <w:t>Hochkonjunktur</w:t>
            </w:r>
          </w:p>
        </w:tc>
        <w:tc>
          <w:tcPr>
            <w:tcW w:w="3085" w:type="dxa"/>
            <w:tcBorders>
              <w:top w:val="single" w:sz="8" w:space="0" w:color="000000"/>
              <w:left w:val="nil"/>
              <w:bottom w:val="nil"/>
              <w:right w:val="nil"/>
            </w:tcBorders>
          </w:tcPr>
          <w:p w:rsidR="00CF08ED" w:rsidRPr="00312948" w:rsidRDefault="00CF08ED" w:rsidP="00485065">
            <w:pPr>
              <w:pStyle w:val="Textkrper3"/>
              <w:numPr>
                <w:ilvl w:val="12"/>
                <w:numId w:val="0"/>
              </w:numPr>
              <w:rPr>
                <w:bCs/>
                <w:color w:val="000000"/>
              </w:rPr>
            </w:pPr>
            <w:r w:rsidRPr="00312948">
              <w:rPr>
                <w:bCs/>
                <w:color w:val="000000"/>
              </w:rPr>
              <w:t xml:space="preserve"> über 100 Prozent</w:t>
            </w:r>
          </w:p>
        </w:tc>
      </w:tr>
      <w:tr w:rsidR="00CF08ED" w:rsidRPr="00312948" w:rsidTr="0094081A">
        <w:tc>
          <w:tcPr>
            <w:tcW w:w="2410" w:type="dxa"/>
            <w:tcBorders>
              <w:top w:val="nil"/>
              <w:left w:val="nil"/>
              <w:right w:val="nil"/>
            </w:tcBorders>
            <w:shd w:val="clear" w:color="auto" w:fill="C0C0C0"/>
          </w:tcPr>
          <w:p w:rsidR="00CF08ED" w:rsidRPr="00312948" w:rsidRDefault="00CF08ED" w:rsidP="00485065">
            <w:pPr>
              <w:pStyle w:val="Textkrper3"/>
              <w:numPr>
                <w:ilvl w:val="12"/>
                <w:numId w:val="0"/>
              </w:numPr>
              <w:rPr>
                <w:bCs/>
                <w:color w:val="000000"/>
              </w:rPr>
            </w:pPr>
            <w:r w:rsidRPr="00312948">
              <w:rPr>
                <w:bCs/>
                <w:color w:val="000000"/>
              </w:rPr>
              <w:t>Normalfall</w:t>
            </w:r>
          </w:p>
        </w:tc>
        <w:tc>
          <w:tcPr>
            <w:tcW w:w="3085" w:type="dxa"/>
            <w:tcBorders>
              <w:top w:val="nil"/>
              <w:left w:val="nil"/>
              <w:right w:val="nil"/>
            </w:tcBorders>
            <w:shd w:val="clear" w:color="auto" w:fill="C0C0C0"/>
          </w:tcPr>
          <w:p w:rsidR="00CF08ED" w:rsidRPr="00312948" w:rsidRDefault="00CF08ED" w:rsidP="00485065">
            <w:pPr>
              <w:pStyle w:val="Textkrper3"/>
              <w:numPr>
                <w:ilvl w:val="12"/>
                <w:numId w:val="0"/>
              </w:numPr>
              <w:rPr>
                <w:color w:val="000000"/>
              </w:rPr>
            </w:pPr>
            <w:r w:rsidRPr="00312948">
              <w:rPr>
                <w:color w:val="000000"/>
              </w:rPr>
              <w:t xml:space="preserve"> 80 – 100 Prozent</w:t>
            </w:r>
          </w:p>
        </w:tc>
      </w:tr>
      <w:tr w:rsidR="00CF08ED" w:rsidRPr="00312948" w:rsidTr="00485065">
        <w:tc>
          <w:tcPr>
            <w:tcW w:w="2410" w:type="dxa"/>
          </w:tcPr>
          <w:p w:rsidR="00CF08ED" w:rsidRPr="00312948" w:rsidRDefault="00CF08ED" w:rsidP="00485065">
            <w:pPr>
              <w:pStyle w:val="Textkrper3"/>
              <w:numPr>
                <w:ilvl w:val="12"/>
                <w:numId w:val="0"/>
              </w:numPr>
              <w:rPr>
                <w:bCs/>
                <w:color w:val="000000"/>
              </w:rPr>
            </w:pPr>
            <w:r w:rsidRPr="00312948">
              <w:rPr>
                <w:bCs/>
                <w:color w:val="000000"/>
              </w:rPr>
              <w:t>Krise</w:t>
            </w:r>
          </w:p>
        </w:tc>
        <w:tc>
          <w:tcPr>
            <w:tcW w:w="3085" w:type="dxa"/>
          </w:tcPr>
          <w:p w:rsidR="00CF08ED" w:rsidRPr="00312948" w:rsidRDefault="00CF08ED" w:rsidP="00485065">
            <w:pPr>
              <w:pStyle w:val="Textkrper3"/>
              <w:numPr>
                <w:ilvl w:val="12"/>
                <w:numId w:val="0"/>
              </w:numPr>
              <w:rPr>
                <w:color w:val="000000"/>
              </w:rPr>
            </w:pPr>
            <w:r w:rsidRPr="00312948">
              <w:rPr>
                <w:color w:val="000000"/>
              </w:rPr>
              <w:t xml:space="preserve"> 50 –   80 Prozent</w:t>
            </w:r>
          </w:p>
        </w:tc>
      </w:tr>
    </w:tbl>
    <w:p w:rsidR="00486BD0" w:rsidRDefault="00486BD0" w:rsidP="00486BD0">
      <w:pPr>
        <w:numPr>
          <w:ilvl w:val="12"/>
          <w:numId w:val="0"/>
        </w:numPr>
        <w:jc w:val="both"/>
        <w:rPr>
          <w:rFonts w:ascii="Arial" w:hAnsi="Arial" w:cs="Arial"/>
          <w:sz w:val="22"/>
        </w:rPr>
      </w:pPr>
    </w:p>
    <w:p w:rsidR="00CF08ED" w:rsidRDefault="00486BD0" w:rsidP="00486BD0">
      <w:pPr>
        <w:numPr>
          <w:ilvl w:val="12"/>
          <w:numId w:val="0"/>
        </w:numPr>
        <w:jc w:val="both"/>
        <w:rPr>
          <w:rFonts w:ascii="Arial" w:hAnsi="Arial" w:cs="Arial"/>
          <w:sz w:val="22"/>
        </w:rPr>
      </w:pPr>
      <w:r>
        <w:rPr>
          <w:rFonts w:ascii="Arial" w:hAnsi="Arial" w:cs="Arial"/>
          <w:sz w:val="22"/>
        </w:rPr>
        <w:t xml:space="preserve">Der </w:t>
      </w:r>
      <w:r w:rsidR="009151AB">
        <w:rPr>
          <w:rFonts w:ascii="Arial" w:hAnsi="Arial" w:cs="Arial"/>
          <w:sz w:val="22"/>
        </w:rPr>
        <w:t xml:space="preserve">gewichtete </w:t>
      </w:r>
      <w:r w:rsidR="002042E8">
        <w:rPr>
          <w:rFonts w:ascii="Arial" w:hAnsi="Arial" w:cs="Arial"/>
          <w:sz w:val="22"/>
        </w:rPr>
        <w:t>Selbstfinanzierungsgrad</w:t>
      </w:r>
      <w:r>
        <w:rPr>
          <w:rFonts w:ascii="Arial" w:hAnsi="Arial" w:cs="Arial"/>
          <w:sz w:val="22"/>
        </w:rPr>
        <w:t xml:space="preserve"> </w:t>
      </w:r>
      <w:r w:rsidR="00D45320">
        <w:rPr>
          <w:rFonts w:ascii="Arial" w:hAnsi="Arial" w:cs="Arial"/>
          <w:sz w:val="22"/>
        </w:rPr>
        <w:t xml:space="preserve">(mit Berücksichtigung der Vorfinanzierungen) </w:t>
      </w:r>
      <w:r>
        <w:rPr>
          <w:rFonts w:ascii="Arial" w:hAnsi="Arial" w:cs="Arial"/>
          <w:sz w:val="22"/>
        </w:rPr>
        <w:t xml:space="preserve">für alle Planjahre beträgt nur </w:t>
      </w:r>
      <w:r w:rsidR="00777B62">
        <w:rPr>
          <w:rFonts w:ascii="Arial" w:hAnsi="Arial" w:cs="Arial"/>
          <w:b/>
          <w:sz w:val="22"/>
        </w:rPr>
        <w:t>69.4</w:t>
      </w:r>
      <w:r w:rsidR="00D776D2">
        <w:rPr>
          <w:rFonts w:ascii="Arial" w:hAnsi="Arial" w:cs="Arial"/>
          <w:sz w:val="22"/>
        </w:rPr>
        <w:t>%</w:t>
      </w:r>
      <w:r w:rsidR="001E6818">
        <w:rPr>
          <w:rFonts w:ascii="Arial" w:hAnsi="Arial" w:cs="Arial"/>
          <w:sz w:val="22"/>
        </w:rPr>
        <w:t xml:space="preserve"> (Vorperiode </w:t>
      </w:r>
      <w:r w:rsidR="00F2386C">
        <w:rPr>
          <w:rFonts w:ascii="Arial" w:hAnsi="Arial" w:cs="Arial"/>
          <w:sz w:val="22"/>
        </w:rPr>
        <w:t>71.2</w:t>
      </w:r>
      <w:r w:rsidR="001E6818">
        <w:rPr>
          <w:rFonts w:ascii="Arial" w:hAnsi="Arial" w:cs="Arial"/>
          <w:sz w:val="22"/>
        </w:rPr>
        <w:t>%)</w:t>
      </w:r>
      <w:r>
        <w:rPr>
          <w:rFonts w:ascii="Arial" w:hAnsi="Arial" w:cs="Arial"/>
          <w:sz w:val="22"/>
        </w:rPr>
        <w:t xml:space="preserve">. Unter Ausklammerung der Investitionsbeiträge an den Kanton weist diese Kennzahl einen Wert von </w:t>
      </w:r>
      <w:r w:rsidR="00777B62">
        <w:rPr>
          <w:rFonts w:ascii="Arial" w:hAnsi="Arial" w:cs="Arial"/>
          <w:b/>
          <w:sz w:val="22"/>
        </w:rPr>
        <w:t xml:space="preserve">67.1 </w:t>
      </w:r>
      <w:r w:rsidR="009151AB" w:rsidRPr="00D776D2">
        <w:rPr>
          <w:rFonts w:ascii="Arial" w:hAnsi="Arial" w:cs="Arial"/>
          <w:sz w:val="22"/>
        </w:rPr>
        <w:t>%</w:t>
      </w:r>
      <w:r w:rsidR="002F28F5">
        <w:rPr>
          <w:rFonts w:ascii="Arial" w:hAnsi="Arial" w:cs="Arial"/>
          <w:sz w:val="22"/>
        </w:rPr>
        <w:t xml:space="preserve"> (Vorperiode </w:t>
      </w:r>
      <w:r w:rsidR="00F2386C">
        <w:rPr>
          <w:rFonts w:ascii="Arial" w:hAnsi="Arial" w:cs="Arial"/>
          <w:sz w:val="22"/>
        </w:rPr>
        <w:t>76.9</w:t>
      </w:r>
      <w:r w:rsidR="002F28F5">
        <w:rPr>
          <w:rFonts w:ascii="Arial" w:hAnsi="Arial" w:cs="Arial"/>
          <w:sz w:val="22"/>
        </w:rPr>
        <w:t>%)</w:t>
      </w:r>
      <w:r>
        <w:rPr>
          <w:rFonts w:ascii="Arial" w:hAnsi="Arial" w:cs="Arial"/>
          <w:sz w:val="22"/>
        </w:rPr>
        <w:t xml:space="preserve"> aus. </w:t>
      </w:r>
    </w:p>
    <w:p w:rsidR="00F2386C" w:rsidRDefault="00F2386C" w:rsidP="00486BD0">
      <w:pPr>
        <w:numPr>
          <w:ilvl w:val="12"/>
          <w:numId w:val="0"/>
        </w:numPr>
        <w:jc w:val="both"/>
        <w:rPr>
          <w:rFonts w:ascii="Arial" w:hAnsi="Arial" w:cs="Arial"/>
          <w:sz w:val="22"/>
        </w:rPr>
      </w:pPr>
    </w:p>
    <w:p w:rsidR="00727881" w:rsidRDefault="00DD73CA" w:rsidP="00486BD0">
      <w:pPr>
        <w:numPr>
          <w:ilvl w:val="12"/>
          <w:numId w:val="0"/>
        </w:numPr>
        <w:jc w:val="both"/>
        <w:rPr>
          <w:rFonts w:ascii="Arial" w:hAnsi="Arial" w:cs="Arial"/>
          <w:sz w:val="22"/>
        </w:rPr>
      </w:pPr>
      <w:r>
        <w:rPr>
          <w:rFonts w:ascii="Arial" w:hAnsi="Arial" w:cs="Arial"/>
          <w:sz w:val="22"/>
        </w:rPr>
        <w:t>Zurzeit</w:t>
      </w:r>
      <w:r w:rsidR="00F2386C">
        <w:rPr>
          <w:rFonts w:ascii="Arial" w:hAnsi="Arial" w:cs="Arial"/>
          <w:sz w:val="22"/>
        </w:rPr>
        <w:t xml:space="preserve"> beträgt da</w:t>
      </w:r>
      <w:r>
        <w:rPr>
          <w:rFonts w:ascii="Arial" w:hAnsi="Arial" w:cs="Arial"/>
          <w:sz w:val="22"/>
        </w:rPr>
        <w:t>s</w:t>
      </w:r>
      <w:r w:rsidR="00F2386C">
        <w:rPr>
          <w:rFonts w:ascii="Arial" w:hAnsi="Arial" w:cs="Arial"/>
          <w:sz w:val="22"/>
        </w:rPr>
        <w:t xml:space="preserve"> ausgewiesene Eigenkapital rund 65 Mio. Franken. Ohne entsprechende </w:t>
      </w:r>
      <w:r w:rsidR="004A74B0">
        <w:rPr>
          <w:rFonts w:ascii="Arial" w:hAnsi="Arial" w:cs="Arial"/>
          <w:sz w:val="22"/>
        </w:rPr>
        <w:t>Gegenmassnahmen</w:t>
      </w:r>
      <w:r w:rsidR="00F2386C">
        <w:rPr>
          <w:rFonts w:ascii="Arial" w:hAnsi="Arial" w:cs="Arial"/>
          <w:sz w:val="22"/>
        </w:rPr>
        <w:t xml:space="preserve"> (Entlastungsprogramm / Anhebung des  Steuersatzes) wird das </w:t>
      </w:r>
      <w:r w:rsidR="00F2386C" w:rsidRPr="00082341">
        <w:rPr>
          <w:rFonts w:ascii="Arial" w:hAnsi="Arial" w:cs="Arial"/>
          <w:b/>
          <w:sz w:val="22"/>
        </w:rPr>
        <w:t>Eigenk</w:t>
      </w:r>
      <w:r w:rsidR="00F2386C" w:rsidRPr="00082341">
        <w:rPr>
          <w:rFonts w:ascii="Arial" w:hAnsi="Arial" w:cs="Arial"/>
          <w:b/>
          <w:sz w:val="22"/>
        </w:rPr>
        <w:t>a</w:t>
      </w:r>
      <w:r w:rsidR="00F2386C" w:rsidRPr="00082341">
        <w:rPr>
          <w:rFonts w:ascii="Arial" w:hAnsi="Arial" w:cs="Arial"/>
          <w:b/>
          <w:sz w:val="22"/>
        </w:rPr>
        <w:t xml:space="preserve">pital </w:t>
      </w:r>
      <w:r w:rsidR="008B0AF3">
        <w:rPr>
          <w:rFonts w:ascii="Arial" w:hAnsi="Arial" w:cs="Arial"/>
          <w:b/>
          <w:sz w:val="22"/>
        </w:rPr>
        <w:t xml:space="preserve">voraussichtlich </w:t>
      </w:r>
      <w:r w:rsidR="00F2386C" w:rsidRPr="00082341">
        <w:rPr>
          <w:rFonts w:ascii="Arial" w:hAnsi="Arial" w:cs="Arial"/>
          <w:b/>
          <w:sz w:val="22"/>
        </w:rPr>
        <w:t>Ende 2015</w:t>
      </w:r>
      <w:r w:rsidR="00F2386C">
        <w:rPr>
          <w:rFonts w:ascii="Arial" w:hAnsi="Arial" w:cs="Arial"/>
          <w:sz w:val="22"/>
        </w:rPr>
        <w:t xml:space="preserve"> aufgebraucht sein und es droht eine Intervention des Ka</w:t>
      </w:r>
      <w:r w:rsidR="00F2386C">
        <w:rPr>
          <w:rFonts w:ascii="Arial" w:hAnsi="Arial" w:cs="Arial"/>
          <w:sz w:val="22"/>
        </w:rPr>
        <w:t>n</w:t>
      </w:r>
      <w:r w:rsidR="00F2386C">
        <w:rPr>
          <w:rFonts w:ascii="Arial" w:hAnsi="Arial" w:cs="Arial"/>
          <w:sz w:val="22"/>
        </w:rPr>
        <w:t>tons</w:t>
      </w:r>
      <w:r w:rsidR="00727881">
        <w:rPr>
          <w:rFonts w:ascii="Arial" w:hAnsi="Arial" w:cs="Arial"/>
          <w:sz w:val="22"/>
        </w:rPr>
        <w:t>.</w:t>
      </w:r>
    </w:p>
    <w:p w:rsidR="00F2386C" w:rsidRDefault="00F2386C" w:rsidP="00486BD0">
      <w:pPr>
        <w:numPr>
          <w:ilvl w:val="12"/>
          <w:numId w:val="0"/>
        </w:numPr>
        <w:jc w:val="both"/>
        <w:rPr>
          <w:rFonts w:ascii="Arial" w:hAnsi="Arial" w:cs="Arial"/>
          <w:sz w:val="22"/>
        </w:rPr>
      </w:pPr>
      <w:r>
        <w:rPr>
          <w:rFonts w:ascii="Arial" w:hAnsi="Arial" w:cs="Arial"/>
          <w:sz w:val="22"/>
        </w:rPr>
        <w:t xml:space="preserve"> </w:t>
      </w:r>
    </w:p>
    <w:p w:rsidR="008A2B56" w:rsidRDefault="008A2B56" w:rsidP="00DE7099">
      <w:pPr>
        <w:numPr>
          <w:ilvl w:val="12"/>
          <w:numId w:val="0"/>
        </w:numPr>
        <w:jc w:val="both"/>
        <w:rPr>
          <w:rFonts w:ascii="Arial" w:hAnsi="Arial" w:cs="Arial"/>
          <w:b/>
          <w:sz w:val="22"/>
        </w:rPr>
      </w:pPr>
    </w:p>
    <w:p w:rsidR="00486BD0" w:rsidRDefault="008734BC" w:rsidP="00DE7099">
      <w:pPr>
        <w:numPr>
          <w:ilvl w:val="12"/>
          <w:numId w:val="0"/>
        </w:numPr>
        <w:jc w:val="both"/>
        <w:rPr>
          <w:rFonts w:ascii="Arial" w:hAnsi="Arial" w:cs="Arial"/>
          <w:b/>
          <w:sz w:val="22"/>
        </w:rPr>
      </w:pPr>
      <w:r>
        <w:rPr>
          <w:rFonts w:ascii="Arial" w:hAnsi="Arial" w:cs="Arial"/>
          <w:b/>
          <w:sz w:val="22"/>
        </w:rPr>
        <w:t>6</w:t>
      </w:r>
      <w:r w:rsidR="00486BD0">
        <w:rPr>
          <w:rFonts w:ascii="Arial" w:hAnsi="Arial" w:cs="Arial"/>
          <w:b/>
          <w:sz w:val="22"/>
        </w:rPr>
        <w:t>.  Steuerertrag und Festlegung des Steuerfusses</w:t>
      </w:r>
    </w:p>
    <w:p w:rsidR="00486BD0" w:rsidRDefault="00486BD0" w:rsidP="00486BD0">
      <w:pPr>
        <w:pStyle w:val="Textkrper3"/>
        <w:numPr>
          <w:ilvl w:val="12"/>
          <w:numId w:val="0"/>
        </w:numPr>
      </w:pPr>
    </w:p>
    <w:p w:rsidR="00CF08ED" w:rsidRDefault="00486BD0" w:rsidP="00486BD0">
      <w:pPr>
        <w:pStyle w:val="Textkrper3"/>
        <w:numPr>
          <w:ilvl w:val="12"/>
          <w:numId w:val="0"/>
        </w:numPr>
      </w:pPr>
      <w:r>
        <w:t>Die Haupteinnahmequelle eines Gemeinwesens wird stark durch äussere Einflüsse geprägt. Es sind dies hauptsächlich die Konjunkturlage, das kantonale Steuergesetz und die Firmenerge</w:t>
      </w:r>
      <w:r>
        <w:t>b</w:t>
      </w:r>
      <w:r>
        <w:t>nisse.</w:t>
      </w:r>
      <w:r w:rsidR="00082341">
        <w:t xml:space="preserve"> In Olten macht sich vor allem die finanzielle </w:t>
      </w:r>
      <w:r w:rsidR="006402FA">
        <w:t>Abhängigkeit von einzelnen Steuerzahlern</w:t>
      </w:r>
      <w:r w:rsidR="00082341">
        <w:t xml:space="preserve"> stark bemerkbar, </w:t>
      </w:r>
      <w:r w:rsidR="00D03F13">
        <w:t>haben doch in Olten wenige Steuerzahler</w:t>
      </w:r>
      <w:r w:rsidR="00082341">
        <w:t xml:space="preserve"> mehr als einen Drittel aller Gemei</w:t>
      </w:r>
      <w:r w:rsidR="00082341">
        <w:t>n</w:t>
      </w:r>
      <w:r w:rsidR="00082341">
        <w:t>desteuern bezahlt.</w:t>
      </w:r>
      <w:r>
        <w:t xml:space="preserve"> </w:t>
      </w:r>
      <w:r w:rsidR="00F2386C">
        <w:t>Weiter kommen die Unsicherheiten bezüglich der Auswirkung der Unterne</w:t>
      </w:r>
      <w:r w:rsidR="00F2386C">
        <w:t>h</w:t>
      </w:r>
      <w:r w:rsidR="00F2386C">
        <w:t>menssteuerreform III dazu</w:t>
      </w:r>
      <w:r w:rsidR="00082341">
        <w:t xml:space="preserve"> (vgl. Kapitel 9.1 Chancen und Risiken)</w:t>
      </w:r>
      <w:r w:rsidR="00F2386C">
        <w:t>.</w:t>
      </w:r>
    </w:p>
    <w:p w:rsidR="00CF08ED" w:rsidRDefault="00CF08ED" w:rsidP="00486BD0">
      <w:pPr>
        <w:pStyle w:val="Textkrper3"/>
        <w:numPr>
          <w:ilvl w:val="12"/>
          <w:numId w:val="0"/>
        </w:numPr>
      </w:pPr>
    </w:p>
    <w:p w:rsidR="00754DAF" w:rsidRDefault="00486BD0" w:rsidP="00486BD0">
      <w:pPr>
        <w:pStyle w:val="Textkrper3"/>
        <w:numPr>
          <w:ilvl w:val="12"/>
          <w:numId w:val="0"/>
        </w:numPr>
      </w:pPr>
      <w:r>
        <w:t>Solche bedeutende Veränderungen haben rasche Auswirkungen auf die Steuereinnahmen.</w:t>
      </w:r>
    </w:p>
    <w:p w:rsidR="00754DAF" w:rsidRDefault="00754DAF" w:rsidP="00486BD0">
      <w:pPr>
        <w:pStyle w:val="Textkrper3"/>
        <w:numPr>
          <w:ilvl w:val="12"/>
          <w:numId w:val="0"/>
        </w:numPr>
      </w:pPr>
    </w:p>
    <w:p w:rsidR="00486BD0" w:rsidRDefault="00486BD0" w:rsidP="00486BD0">
      <w:pPr>
        <w:pStyle w:val="Textkrper3"/>
        <w:numPr>
          <w:ilvl w:val="12"/>
          <w:numId w:val="0"/>
        </w:numPr>
        <w:rPr>
          <w:bCs/>
        </w:rPr>
      </w:pPr>
      <w:r>
        <w:rPr>
          <w:bCs/>
        </w:rPr>
        <w:t xml:space="preserve">Aufgrund der </w:t>
      </w:r>
      <w:r w:rsidR="00A82500">
        <w:rPr>
          <w:bCs/>
        </w:rPr>
        <w:t>E</w:t>
      </w:r>
      <w:r>
        <w:rPr>
          <w:bCs/>
        </w:rPr>
        <w:t>rgebnisse</w:t>
      </w:r>
      <w:r w:rsidR="00A82500">
        <w:rPr>
          <w:bCs/>
        </w:rPr>
        <w:t xml:space="preserve"> der rollenden Finanzplanung und der latenten Risiken bei den Steue</w:t>
      </w:r>
      <w:r w:rsidR="00A82500">
        <w:rPr>
          <w:bCs/>
        </w:rPr>
        <w:t>r</w:t>
      </w:r>
      <w:r w:rsidR="00A82500">
        <w:rPr>
          <w:bCs/>
        </w:rPr>
        <w:t xml:space="preserve">einnahmen </w:t>
      </w:r>
      <w:r w:rsidR="00245727">
        <w:rPr>
          <w:bCs/>
        </w:rPr>
        <w:t>ist</w:t>
      </w:r>
      <w:r w:rsidR="00A82500">
        <w:rPr>
          <w:bCs/>
        </w:rPr>
        <w:t xml:space="preserve"> eine Priorisierung bei den Investitionen - verbunden mit einer Staffelung oder </w:t>
      </w:r>
      <w:r w:rsidR="00A82500">
        <w:rPr>
          <w:bCs/>
        </w:rPr>
        <w:lastRenderedPageBreak/>
        <w:t xml:space="preserve">einem Verzicht </w:t>
      </w:r>
      <w:r w:rsidR="00245727">
        <w:rPr>
          <w:bCs/>
        </w:rPr>
        <w:t>–</w:t>
      </w:r>
      <w:r w:rsidR="00A82500">
        <w:rPr>
          <w:bCs/>
        </w:rPr>
        <w:t xml:space="preserve"> </w:t>
      </w:r>
      <w:r w:rsidR="00245727">
        <w:rPr>
          <w:bCs/>
        </w:rPr>
        <w:t>und/</w:t>
      </w:r>
      <w:r w:rsidR="00A82500">
        <w:rPr>
          <w:bCs/>
        </w:rPr>
        <w:t xml:space="preserve">oder eine allfällige Steuersatzdiskussion </w:t>
      </w:r>
      <w:r w:rsidR="00245727">
        <w:rPr>
          <w:bCs/>
        </w:rPr>
        <w:t>zu führen</w:t>
      </w:r>
      <w:r w:rsidR="00A82500">
        <w:rPr>
          <w:bCs/>
        </w:rPr>
        <w:t>.</w:t>
      </w:r>
      <w:r>
        <w:rPr>
          <w:bCs/>
        </w:rPr>
        <w:t xml:space="preserve"> Eine zu hohe </w:t>
      </w:r>
      <w:r w:rsidR="00A82500">
        <w:rPr>
          <w:bCs/>
        </w:rPr>
        <w:t>Ve</w:t>
      </w:r>
      <w:r w:rsidR="00A82500">
        <w:rPr>
          <w:bCs/>
        </w:rPr>
        <w:t>r</w:t>
      </w:r>
      <w:r w:rsidR="00A82500">
        <w:rPr>
          <w:bCs/>
        </w:rPr>
        <w:t xml:space="preserve">schuldung </w:t>
      </w:r>
      <w:r>
        <w:rPr>
          <w:bCs/>
        </w:rPr>
        <w:t>ist nicht nachhaltig und nicht verantwortbar.</w:t>
      </w:r>
    </w:p>
    <w:p w:rsidR="001943B6" w:rsidRDefault="001943B6" w:rsidP="00486BD0">
      <w:pPr>
        <w:pStyle w:val="Textkrper3"/>
        <w:numPr>
          <w:ilvl w:val="12"/>
          <w:numId w:val="0"/>
        </w:numPr>
        <w:rPr>
          <w:bCs/>
        </w:rPr>
      </w:pPr>
    </w:p>
    <w:p w:rsidR="00754DAF" w:rsidRDefault="001943B6" w:rsidP="00486BD0">
      <w:pPr>
        <w:pStyle w:val="Textkrper3"/>
        <w:numPr>
          <w:ilvl w:val="12"/>
          <w:numId w:val="0"/>
        </w:numPr>
        <w:rPr>
          <w:bCs/>
        </w:rPr>
      </w:pPr>
      <w:r>
        <w:rPr>
          <w:bCs/>
        </w:rPr>
        <w:t xml:space="preserve">Aufgrund der </w:t>
      </w:r>
      <w:r w:rsidR="00082341">
        <w:rPr>
          <w:bCs/>
        </w:rPr>
        <w:t>erwähnten</w:t>
      </w:r>
      <w:r w:rsidR="00754DAF">
        <w:rPr>
          <w:bCs/>
        </w:rPr>
        <w:t xml:space="preserve"> Steuerausfälle</w:t>
      </w:r>
      <w:r w:rsidR="007D2761">
        <w:rPr>
          <w:bCs/>
        </w:rPr>
        <w:t xml:space="preserve">, </w:t>
      </w:r>
      <w:r w:rsidR="00754DAF">
        <w:rPr>
          <w:bCs/>
        </w:rPr>
        <w:t>des bedingt beeinflussbaren Aufwandes und der wah</w:t>
      </w:r>
      <w:r w:rsidR="00754DAF">
        <w:rPr>
          <w:bCs/>
        </w:rPr>
        <w:t>r</w:t>
      </w:r>
      <w:r w:rsidR="00754DAF">
        <w:rPr>
          <w:bCs/>
        </w:rPr>
        <w:t xml:space="preserve">zunehmenden Kernaufgaben einer Stadt </w:t>
      </w:r>
      <w:r w:rsidR="00D03F13">
        <w:rPr>
          <w:bCs/>
        </w:rPr>
        <w:t>schlägt</w:t>
      </w:r>
      <w:r w:rsidR="00754DAF">
        <w:rPr>
          <w:bCs/>
        </w:rPr>
        <w:t xml:space="preserve"> der Stadtrat </w:t>
      </w:r>
      <w:r w:rsidR="00D03F13">
        <w:rPr>
          <w:bCs/>
        </w:rPr>
        <w:t>vor</w:t>
      </w:r>
      <w:r w:rsidR="005552EF">
        <w:rPr>
          <w:bCs/>
        </w:rPr>
        <w:t>,</w:t>
      </w:r>
      <w:r w:rsidR="00754DAF">
        <w:rPr>
          <w:bCs/>
        </w:rPr>
        <w:t xml:space="preserve"> für die Jahre 2014ff </w:t>
      </w:r>
      <w:r w:rsidR="00082341">
        <w:rPr>
          <w:bCs/>
        </w:rPr>
        <w:t>den Ste</w:t>
      </w:r>
      <w:r w:rsidR="00082341">
        <w:rPr>
          <w:bCs/>
        </w:rPr>
        <w:t>u</w:t>
      </w:r>
      <w:r w:rsidR="00082341">
        <w:rPr>
          <w:bCs/>
        </w:rPr>
        <w:t xml:space="preserve">ersatz </w:t>
      </w:r>
      <w:r w:rsidR="00727881">
        <w:rPr>
          <w:bCs/>
        </w:rPr>
        <w:t xml:space="preserve">auf 115% </w:t>
      </w:r>
      <w:r w:rsidR="00082341">
        <w:rPr>
          <w:bCs/>
        </w:rPr>
        <w:t>anzuheben</w:t>
      </w:r>
      <w:r w:rsidR="00754DAF">
        <w:rPr>
          <w:bCs/>
        </w:rPr>
        <w:t>. Der Stadtrat ist sich bewusst, dass nebst einer Anhebung des Steuerfusses</w:t>
      </w:r>
      <w:r w:rsidR="00CE725F">
        <w:rPr>
          <w:bCs/>
        </w:rPr>
        <w:t xml:space="preserve"> </w:t>
      </w:r>
      <w:r w:rsidR="00CE725F" w:rsidRPr="00CE725F">
        <w:rPr>
          <w:b/>
          <w:bCs/>
        </w:rPr>
        <w:t>auf ein kantonales Mittel</w:t>
      </w:r>
      <w:r w:rsidR="00754DAF">
        <w:rPr>
          <w:bCs/>
        </w:rPr>
        <w:t xml:space="preserve"> </w:t>
      </w:r>
      <w:r w:rsidR="007D2761">
        <w:rPr>
          <w:bCs/>
        </w:rPr>
        <w:t xml:space="preserve">(2013: 118.1%) </w:t>
      </w:r>
      <w:r w:rsidR="00754DAF">
        <w:rPr>
          <w:bCs/>
        </w:rPr>
        <w:t>auch eine Konzentration auf die Kern</w:t>
      </w:r>
      <w:r w:rsidR="00694C4F">
        <w:rPr>
          <w:bCs/>
        </w:rPr>
        <w:t>- und Zentrums</w:t>
      </w:r>
      <w:r w:rsidR="00754DAF">
        <w:rPr>
          <w:bCs/>
        </w:rPr>
        <w:t>aufgaben der Stadt</w:t>
      </w:r>
      <w:r w:rsidR="005552EF">
        <w:rPr>
          <w:bCs/>
        </w:rPr>
        <w:t>,</w:t>
      </w:r>
      <w:r w:rsidR="00754DAF">
        <w:rPr>
          <w:bCs/>
        </w:rPr>
        <w:t xml:space="preserve"> verbunden mit e</w:t>
      </w:r>
      <w:r w:rsidR="00082341">
        <w:rPr>
          <w:bCs/>
        </w:rPr>
        <w:t>i</w:t>
      </w:r>
      <w:r w:rsidR="00754DAF">
        <w:rPr>
          <w:bCs/>
        </w:rPr>
        <w:t>nem entsprechenden Entlastungspaket</w:t>
      </w:r>
      <w:r w:rsidR="005552EF">
        <w:rPr>
          <w:bCs/>
        </w:rPr>
        <w:t>,</w:t>
      </w:r>
      <w:r w:rsidR="00754DAF">
        <w:rPr>
          <w:bCs/>
        </w:rPr>
        <w:t xml:space="preserve"> v</w:t>
      </w:r>
      <w:r w:rsidR="00754DAF">
        <w:rPr>
          <w:bCs/>
        </w:rPr>
        <w:t>o</w:t>
      </w:r>
      <w:r w:rsidR="00754DAF">
        <w:rPr>
          <w:bCs/>
        </w:rPr>
        <w:t>rangetrieben werden muss.</w:t>
      </w:r>
    </w:p>
    <w:p w:rsidR="00754DAF" w:rsidRDefault="00754DAF" w:rsidP="00486BD0">
      <w:pPr>
        <w:pStyle w:val="Textkrper3"/>
        <w:numPr>
          <w:ilvl w:val="12"/>
          <w:numId w:val="0"/>
        </w:numPr>
        <w:rPr>
          <w:bCs/>
        </w:rPr>
      </w:pPr>
    </w:p>
    <w:p w:rsidR="00754DAF" w:rsidRDefault="00754DAF" w:rsidP="00486BD0">
      <w:pPr>
        <w:pStyle w:val="Textkrper3"/>
        <w:numPr>
          <w:ilvl w:val="12"/>
          <w:numId w:val="0"/>
        </w:numPr>
        <w:rPr>
          <w:bCs/>
        </w:rPr>
      </w:pPr>
      <w:r>
        <w:rPr>
          <w:bCs/>
        </w:rPr>
        <w:t xml:space="preserve">Ein </w:t>
      </w:r>
      <w:r w:rsidR="00DD73CA">
        <w:rPr>
          <w:bCs/>
        </w:rPr>
        <w:t>entsprechendes</w:t>
      </w:r>
      <w:r>
        <w:rPr>
          <w:bCs/>
        </w:rPr>
        <w:t xml:space="preserve"> Postu</w:t>
      </w:r>
      <w:r w:rsidR="007D2761">
        <w:rPr>
          <w:bCs/>
        </w:rPr>
        <w:t>lat</w:t>
      </w:r>
      <w:r>
        <w:rPr>
          <w:bCs/>
        </w:rPr>
        <w:t xml:space="preserve"> hat der Stadtrat bereits entgegengenommen.</w:t>
      </w:r>
    </w:p>
    <w:p w:rsidR="00082341" w:rsidRDefault="00082341" w:rsidP="00486BD0">
      <w:pPr>
        <w:pStyle w:val="Textkrper3"/>
        <w:numPr>
          <w:ilvl w:val="12"/>
          <w:numId w:val="0"/>
        </w:numPr>
        <w:rPr>
          <w:bCs/>
        </w:rPr>
      </w:pPr>
    </w:p>
    <w:p w:rsidR="00A82500" w:rsidRDefault="008734BC">
      <w:pPr>
        <w:jc w:val="both"/>
        <w:rPr>
          <w:rFonts w:ascii="Arial" w:hAnsi="Arial" w:cs="Arial"/>
          <w:b/>
          <w:sz w:val="22"/>
        </w:rPr>
      </w:pPr>
      <w:r>
        <w:rPr>
          <w:rFonts w:ascii="Arial" w:hAnsi="Arial" w:cs="Arial"/>
          <w:b/>
          <w:sz w:val="22"/>
        </w:rPr>
        <w:t>7</w:t>
      </w:r>
      <w:r w:rsidR="00A82500">
        <w:rPr>
          <w:rFonts w:ascii="Arial" w:hAnsi="Arial" w:cs="Arial"/>
          <w:b/>
          <w:sz w:val="22"/>
        </w:rPr>
        <w:t xml:space="preserve">.   Investitionsvolumen und </w:t>
      </w:r>
      <w:r w:rsidR="00777CEE">
        <w:rPr>
          <w:rFonts w:ascii="Arial" w:hAnsi="Arial" w:cs="Arial"/>
          <w:b/>
          <w:sz w:val="22"/>
        </w:rPr>
        <w:t>–</w:t>
      </w:r>
      <w:r w:rsidR="00A82500">
        <w:rPr>
          <w:rFonts w:ascii="Arial" w:hAnsi="Arial" w:cs="Arial"/>
          <w:b/>
          <w:sz w:val="22"/>
        </w:rPr>
        <w:t>grenzen</w:t>
      </w:r>
      <w:r w:rsidR="00777CEE">
        <w:rPr>
          <w:rFonts w:ascii="Arial" w:hAnsi="Arial" w:cs="Arial"/>
          <w:b/>
          <w:sz w:val="22"/>
        </w:rPr>
        <w:t xml:space="preserve"> </w:t>
      </w:r>
    </w:p>
    <w:p w:rsidR="00A82500" w:rsidRDefault="00A82500">
      <w:pPr>
        <w:pStyle w:val="Textkrper3"/>
      </w:pPr>
    </w:p>
    <w:p w:rsidR="001943B6" w:rsidRDefault="00754DAF" w:rsidP="00CD24E1">
      <w:pPr>
        <w:jc w:val="both"/>
        <w:rPr>
          <w:rFonts w:ascii="Arial" w:hAnsi="Arial" w:cs="Arial"/>
          <w:sz w:val="22"/>
          <w:szCs w:val="22"/>
        </w:rPr>
      </w:pPr>
      <w:r>
        <w:rPr>
          <w:rFonts w:ascii="Arial" w:hAnsi="Arial" w:cs="Arial"/>
          <w:sz w:val="22"/>
          <w:szCs w:val="22"/>
        </w:rPr>
        <w:t xml:space="preserve">Im Rahmen von mehreren Gesprächen hat der Stadtrat das vorläufige Investitionsvolumen für die Jahre 2014 – 2020 auf </w:t>
      </w:r>
      <w:r w:rsidR="00777B62">
        <w:rPr>
          <w:rFonts w:ascii="Arial" w:hAnsi="Arial" w:cs="Arial"/>
          <w:b/>
          <w:sz w:val="22"/>
          <w:szCs w:val="22"/>
        </w:rPr>
        <w:t>98.25</w:t>
      </w:r>
      <w:r w:rsidRPr="00082341">
        <w:rPr>
          <w:rFonts w:ascii="Arial" w:hAnsi="Arial" w:cs="Arial"/>
          <w:b/>
          <w:sz w:val="22"/>
          <w:szCs w:val="22"/>
        </w:rPr>
        <w:t xml:space="preserve"> Mio</w:t>
      </w:r>
      <w:r>
        <w:rPr>
          <w:rFonts w:ascii="Arial" w:hAnsi="Arial" w:cs="Arial"/>
          <w:sz w:val="22"/>
          <w:szCs w:val="22"/>
        </w:rPr>
        <w:t>. Franken festgesetzt. Der Stadtrat ist sich bewusst, dass dieses Investitionsvolumen immer noch sehr hoch ist und</w:t>
      </w:r>
      <w:r w:rsidR="007D2761">
        <w:rPr>
          <w:rFonts w:ascii="Arial" w:hAnsi="Arial" w:cs="Arial"/>
          <w:sz w:val="22"/>
          <w:szCs w:val="22"/>
        </w:rPr>
        <w:t xml:space="preserve"> sich</w:t>
      </w:r>
      <w:r>
        <w:rPr>
          <w:rFonts w:ascii="Arial" w:hAnsi="Arial" w:cs="Arial"/>
          <w:sz w:val="22"/>
          <w:szCs w:val="22"/>
        </w:rPr>
        <w:t xml:space="preserve"> aufgrund der neuen Steuersitu</w:t>
      </w:r>
      <w:r>
        <w:rPr>
          <w:rFonts w:ascii="Arial" w:hAnsi="Arial" w:cs="Arial"/>
          <w:sz w:val="22"/>
          <w:szCs w:val="22"/>
        </w:rPr>
        <w:t>a</w:t>
      </w:r>
      <w:r w:rsidR="007D2761">
        <w:rPr>
          <w:rFonts w:ascii="Arial" w:hAnsi="Arial" w:cs="Arial"/>
          <w:sz w:val="22"/>
          <w:szCs w:val="22"/>
        </w:rPr>
        <w:t>ti</w:t>
      </w:r>
      <w:r>
        <w:rPr>
          <w:rFonts w:ascii="Arial" w:hAnsi="Arial" w:cs="Arial"/>
          <w:sz w:val="22"/>
          <w:szCs w:val="22"/>
        </w:rPr>
        <w:t>on nicht ohne erhebliche zusätzliche Steuereinnahmen bewerkstelligen lässt. Vorläufiges Ziel muss es sein, die vom Kanton vorgegebene Verschuldungslimite von 5‘000 Franken pro Kopf nicht zu überschreiten.</w:t>
      </w:r>
    </w:p>
    <w:p w:rsidR="001943B6" w:rsidRDefault="001943B6" w:rsidP="00CD24E1">
      <w:pPr>
        <w:jc w:val="both"/>
        <w:rPr>
          <w:rFonts w:ascii="Arial" w:hAnsi="Arial" w:cs="Arial"/>
          <w:sz w:val="22"/>
          <w:szCs w:val="22"/>
        </w:rPr>
      </w:pPr>
    </w:p>
    <w:p w:rsidR="00777CEE" w:rsidRDefault="00777CEE" w:rsidP="00777CEE">
      <w:pPr>
        <w:pStyle w:val="Textkrper3"/>
      </w:pPr>
      <w:r>
        <w:t xml:space="preserve">Die Beurteilung dieser Kennzahl ist im neuen Rechnungsmodell wie folgt definiert: </w:t>
      </w:r>
    </w:p>
    <w:p w:rsidR="00777CEE" w:rsidRPr="007839F4" w:rsidRDefault="00777CEE" w:rsidP="00777CEE">
      <w:pPr>
        <w:numPr>
          <w:ilvl w:val="12"/>
          <w:numId w:val="0"/>
        </w:numPr>
        <w:ind w:left="708"/>
        <w:jc w:val="both"/>
        <w:rPr>
          <w:rFonts w:ascii="Arial" w:hAnsi="Arial" w:cs="Arial"/>
          <w:sz w:val="8"/>
          <w:szCs w:val="8"/>
        </w:rPr>
      </w:pPr>
    </w:p>
    <w:tbl>
      <w:tblPr>
        <w:tblW w:w="0" w:type="auto"/>
        <w:tblInd w:w="108" w:type="dxa"/>
        <w:tblBorders>
          <w:top w:val="single" w:sz="8" w:space="0" w:color="000000"/>
          <w:bottom w:val="single" w:sz="8" w:space="0" w:color="000000"/>
        </w:tblBorders>
        <w:tblLook w:val="04A0"/>
      </w:tblPr>
      <w:tblGrid>
        <w:gridCol w:w="2410"/>
        <w:gridCol w:w="3119"/>
      </w:tblGrid>
      <w:tr w:rsidR="00777CEE" w:rsidRPr="00227037" w:rsidTr="00694C4F">
        <w:tc>
          <w:tcPr>
            <w:tcW w:w="2410" w:type="dxa"/>
            <w:tcBorders>
              <w:top w:val="single" w:sz="8" w:space="0" w:color="000000"/>
              <w:left w:val="nil"/>
              <w:bottom w:val="nil"/>
              <w:right w:val="nil"/>
            </w:tcBorders>
          </w:tcPr>
          <w:p w:rsidR="00777CEE" w:rsidRPr="00227037" w:rsidRDefault="00777CEE" w:rsidP="00485065">
            <w:pPr>
              <w:numPr>
                <w:ilvl w:val="12"/>
                <w:numId w:val="0"/>
              </w:numPr>
              <w:rPr>
                <w:rFonts w:ascii="Arial" w:hAnsi="Arial" w:cs="Arial"/>
                <w:bCs/>
                <w:color w:val="000000"/>
                <w:sz w:val="22"/>
              </w:rPr>
            </w:pPr>
            <w:r w:rsidRPr="00227037">
              <w:rPr>
                <w:rFonts w:ascii="Arial" w:hAnsi="Arial" w:cs="Arial"/>
                <w:bCs/>
                <w:color w:val="000000"/>
                <w:sz w:val="22"/>
              </w:rPr>
              <w:t>0 – 1'000</w:t>
            </w:r>
          </w:p>
        </w:tc>
        <w:tc>
          <w:tcPr>
            <w:tcW w:w="3119" w:type="dxa"/>
            <w:tcBorders>
              <w:top w:val="single" w:sz="8" w:space="0" w:color="000000"/>
              <w:left w:val="nil"/>
              <w:bottom w:val="nil"/>
              <w:right w:val="nil"/>
            </w:tcBorders>
          </w:tcPr>
          <w:p w:rsidR="00777CEE" w:rsidRPr="00227037" w:rsidRDefault="00777CEE" w:rsidP="00485065">
            <w:pPr>
              <w:numPr>
                <w:ilvl w:val="12"/>
                <w:numId w:val="0"/>
              </w:numPr>
              <w:jc w:val="both"/>
              <w:rPr>
                <w:rFonts w:ascii="Arial" w:hAnsi="Arial" w:cs="Arial"/>
                <w:bCs/>
                <w:color w:val="000000"/>
                <w:sz w:val="22"/>
              </w:rPr>
            </w:pPr>
            <w:r w:rsidRPr="00227037">
              <w:rPr>
                <w:rFonts w:ascii="Arial" w:hAnsi="Arial" w:cs="Arial"/>
                <w:bCs/>
                <w:color w:val="000000"/>
                <w:sz w:val="22"/>
              </w:rPr>
              <w:t>geringe Verschuldung</w:t>
            </w:r>
          </w:p>
        </w:tc>
      </w:tr>
      <w:tr w:rsidR="00777CEE" w:rsidRPr="00227037" w:rsidTr="00694C4F">
        <w:tc>
          <w:tcPr>
            <w:tcW w:w="2410" w:type="dxa"/>
            <w:tcBorders>
              <w:top w:val="nil"/>
              <w:left w:val="nil"/>
              <w:right w:val="nil"/>
            </w:tcBorders>
            <w:shd w:val="clear" w:color="auto" w:fill="C0C0C0"/>
          </w:tcPr>
          <w:p w:rsidR="00777CEE" w:rsidRPr="00227037" w:rsidRDefault="00777CEE" w:rsidP="00485065">
            <w:pPr>
              <w:numPr>
                <w:ilvl w:val="12"/>
                <w:numId w:val="0"/>
              </w:numPr>
              <w:rPr>
                <w:rFonts w:ascii="Arial" w:hAnsi="Arial" w:cs="Arial"/>
                <w:bCs/>
                <w:color w:val="000000"/>
                <w:sz w:val="22"/>
              </w:rPr>
            </w:pPr>
            <w:r w:rsidRPr="00227037">
              <w:rPr>
                <w:rFonts w:ascii="Arial" w:hAnsi="Arial" w:cs="Arial"/>
                <w:bCs/>
                <w:color w:val="000000"/>
                <w:sz w:val="22"/>
              </w:rPr>
              <w:t>1'001 – 2'500</w:t>
            </w:r>
          </w:p>
        </w:tc>
        <w:tc>
          <w:tcPr>
            <w:tcW w:w="3119" w:type="dxa"/>
            <w:tcBorders>
              <w:top w:val="nil"/>
              <w:left w:val="nil"/>
              <w:right w:val="nil"/>
            </w:tcBorders>
            <w:shd w:val="clear" w:color="auto" w:fill="C0C0C0"/>
          </w:tcPr>
          <w:p w:rsidR="00777CEE" w:rsidRPr="00227037" w:rsidRDefault="00777CEE" w:rsidP="00485065">
            <w:pPr>
              <w:numPr>
                <w:ilvl w:val="12"/>
                <w:numId w:val="0"/>
              </w:numPr>
              <w:jc w:val="both"/>
              <w:rPr>
                <w:rFonts w:ascii="Arial" w:hAnsi="Arial" w:cs="Arial"/>
                <w:color w:val="000000"/>
                <w:sz w:val="22"/>
              </w:rPr>
            </w:pPr>
            <w:r w:rsidRPr="00227037">
              <w:rPr>
                <w:rFonts w:ascii="Arial" w:hAnsi="Arial" w:cs="Arial"/>
                <w:color w:val="000000"/>
                <w:sz w:val="22"/>
              </w:rPr>
              <w:t>mittlere Verschuldung</w:t>
            </w:r>
          </w:p>
        </w:tc>
      </w:tr>
      <w:tr w:rsidR="00777CEE" w:rsidRPr="00227037" w:rsidTr="00485065">
        <w:tc>
          <w:tcPr>
            <w:tcW w:w="2410" w:type="dxa"/>
          </w:tcPr>
          <w:p w:rsidR="00777CEE" w:rsidRPr="00227037" w:rsidRDefault="00777CEE" w:rsidP="00485065">
            <w:pPr>
              <w:numPr>
                <w:ilvl w:val="12"/>
                <w:numId w:val="0"/>
              </w:numPr>
              <w:rPr>
                <w:rFonts w:ascii="Arial" w:hAnsi="Arial" w:cs="Arial"/>
                <w:bCs/>
                <w:color w:val="000000"/>
                <w:sz w:val="22"/>
              </w:rPr>
            </w:pPr>
            <w:r w:rsidRPr="00227037">
              <w:rPr>
                <w:rFonts w:ascii="Arial" w:hAnsi="Arial" w:cs="Arial"/>
                <w:bCs/>
                <w:color w:val="000000"/>
                <w:sz w:val="22"/>
              </w:rPr>
              <w:t>2'501 – 5'000</w:t>
            </w:r>
          </w:p>
        </w:tc>
        <w:tc>
          <w:tcPr>
            <w:tcW w:w="3119" w:type="dxa"/>
          </w:tcPr>
          <w:p w:rsidR="00777CEE" w:rsidRPr="00227037" w:rsidRDefault="00777CEE" w:rsidP="00485065">
            <w:pPr>
              <w:numPr>
                <w:ilvl w:val="12"/>
                <w:numId w:val="0"/>
              </w:numPr>
              <w:jc w:val="both"/>
              <w:rPr>
                <w:rFonts w:ascii="Arial" w:hAnsi="Arial" w:cs="Arial"/>
                <w:color w:val="000000"/>
                <w:sz w:val="22"/>
              </w:rPr>
            </w:pPr>
            <w:r w:rsidRPr="00227037">
              <w:rPr>
                <w:rFonts w:ascii="Arial" w:hAnsi="Arial" w:cs="Arial"/>
                <w:color w:val="000000"/>
                <w:sz w:val="22"/>
              </w:rPr>
              <w:t>hohe Verschuldung</w:t>
            </w:r>
          </w:p>
        </w:tc>
      </w:tr>
      <w:tr w:rsidR="00777CEE" w:rsidRPr="00227037" w:rsidTr="00485065">
        <w:tc>
          <w:tcPr>
            <w:tcW w:w="2410" w:type="dxa"/>
            <w:tcBorders>
              <w:left w:val="nil"/>
              <w:right w:val="nil"/>
            </w:tcBorders>
            <w:shd w:val="clear" w:color="auto" w:fill="C0C0C0"/>
          </w:tcPr>
          <w:p w:rsidR="00777CEE" w:rsidRPr="00227037" w:rsidRDefault="00777CEE" w:rsidP="00777CEE">
            <w:pPr>
              <w:rPr>
                <w:rFonts w:ascii="Arial" w:hAnsi="Arial" w:cs="Arial"/>
                <w:bCs/>
                <w:color w:val="000000"/>
                <w:sz w:val="22"/>
              </w:rPr>
            </w:pPr>
            <w:r w:rsidRPr="00227037">
              <w:rPr>
                <w:rFonts w:ascii="Arial" w:hAnsi="Arial" w:cs="Arial"/>
                <w:bCs/>
                <w:color w:val="000000"/>
                <w:sz w:val="22"/>
              </w:rPr>
              <w:t>&gt; 5'000</w:t>
            </w:r>
          </w:p>
        </w:tc>
        <w:tc>
          <w:tcPr>
            <w:tcW w:w="3119" w:type="dxa"/>
            <w:tcBorders>
              <w:left w:val="nil"/>
              <w:right w:val="nil"/>
            </w:tcBorders>
            <w:shd w:val="clear" w:color="auto" w:fill="C0C0C0"/>
          </w:tcPr>
          <w:p w:rsidR="00777CEE" w:rsidRPr="00227037" w:rsidRDefault="00777CEE" w:rsidP="00485065">
            <w:pPr>
              <w:jc w:val="both"/>
              <w:rPr>
                <w:rFonts w:ascii="Arial" w:hAnsi="Arial" w:cs="Arial"/>
                <w:color w:val="000000"/>
                <w:sz w:val="22"/>
              </w:rPr>
            </w:pPr>
            <w:r w:rsidRPr="00227037">
              <w:rPr>
                <w:rFonts w:ascii="Arial" w:hAnsi="Arial" w:cs="Arial"/>
                <w:color w:val="000000"/>
                <w:sz w:val="22"/>
              </w:rPr>
              <w:t>sehr hohe Verschuldung</w:t>
            </w:r>
          </w:p>
        </w:tc>
      </w:tr>
    </w:tbl>
    <w:p w:rsidR="00777CEE" w:rsidRPr="00CD24E1" w:rsidRDefault="00777CEE" w:rsidP="00CD24E1">
      <w:pPr>
        <w:jc w:val="both"/>
        <w:rPr>
          <w:rFonts w:ascii="Arial" w:hAnsi="Arial" w:cs="Arial"/>
          <w:sz w:val="22"/>
          <w:szCs w:val="22"/>
        </w:rPr>
      </w:pPr>
    </w:p>
    <w:p w:rsidR="001E6BEA" w:rsidRDefault="001E6BEA" w:rsidP="00A9207F">
      <w:pPr>
        <w:jc w:val="both"/>
        <w:rPr>
          <w:rFonts w:ascii="Arial" w:hAnsi="Arial" w:cs="Arial"/>
          <w:sz w:val="22"/>
          <w:szCs w:val="22"/>
        </w:rPr>
      </w:pPr>
      <w:r>
        <w:rPr>
          <w:rFonts w:ascii="Arial" w:hAnsi="Arial" w:cs="Arial"/>
          <w:sz w:val="22"/>
          <w:szCs w:val="22"/>
        </w:rPr>
        <w:t>Im Bewusstsein, dass es sich um eine rollende Planung handelt und die Entwicklung der Ste</w:t>
      </w:r>
      <w:r>
        <w:rPr>
          <w:rFonts w:ascii="Arial" w:hAnsi="Arial" w:cs="Arial"/>
          <w:sz w:val="22"/>
          <w:szCs w:val="22"/>
        </w:rPr>
        <w:t>u</w:t>
      </w:r>
      <w:r>
        <w:rPr>
          <w:rFonts w:ascii="Arial" w:hAnsi="Arial" w:cs="Arial"/>
          <w:sz w:val="22"/>
          <w:szCs w:val="22"/>
        </w:rPr>
        <w:t>ereinnahmen konsequent überwacht werden muss</w:t>
      </w:r>
      <w:r w:rsidR="005552EF">
        <w:rPr>
          <w:rFonts w:ascii="Arial" w:hAnsi="Arial" w:cs="Arial"/>
          <w:sz w:val="22"/>
          <w:szCs w:val="22"/>
        </w:rPr>
        <w:t>,</w:t>
      </w:r>
      <w:r>
        <w:rPr>
          <w:rFonts w:ascii="Arial" w:hAnsi="Arial" w:cs="Arial"/>
          <w:sz w:val="22"/>
          <w:szCs w:val="22"/>
        </w:rPr>
        <w:t xml:space="preserve"> hat </w:t>
      </w:r>
      <w:r w:rsidR="00982A8C">
        <w:rPr>
          <w:rFonts w:ascii="Arial" w:hAnsi="Arial" w:cs="Arial"/>
          <w:sz w:val="22"/>
          <w:szCs w:val="22"/>
        </w:rPr>
        <w:t xml:space="preserve">sich </w:t>
      </w:r>
      <w:r>
        <w:rPr>
          <w:rFonts w:ascii="Arial" w:hAnsi="Arial" w:cs="Arial"/>
          <w:sz w:val="22"/>
          <w:szCs w:val="22"/>
        </w:rPr>
        <w:t>der Stadtrat entschieden</w:t>
      </w:r>
      <w:r w:rsidR="007D2761">
        <w:rPr>
          <w:rFonts w:ascii="Arial" w:hAnsi="Arial" w:cs="Arial"/>
          <w:sz w:val="22"/>
          <w:szCs w:val="22"/>
        </w:rPr>
        <w:t>,</w:t>
      </w:r>
      <w:r>
        <w:rPr>
          <w:rFonts w:ascii="Arial" w:hAnsi="Arial" w:cs="Arial"/>
          <w:sz w:val="22"/>
          <w:szCs w:val="22"/>
        </w:rPr>
        <w:t xml:space="preserve"> die Grossprojekte aufzuführen und das immer noch zu hohe Investitionsprogramm dem Gemeind</w:t>
      </w:r>
      <w:r>
        <w:rPr>
          <w:rFonts w:ascii="Arial" w:hAnsi="Arial" w:cs="Arial"/>
          <w:sz w:val="22"/>
          <w:szCs w:val="22"/>
        </w:rPr>
        <w:t>e</w:t>
      </w:r>
      <w:r>
        <w:rPr>
          <w:rFonts w:ascii="Arial" w:hAnsi="Arial" w:cs="Arial"/>
          <w:sz w:val="22"/>
          <w:szCs w:val="22"/>
        </w:rPr>
        <w:t xml:space="preserve">parlament zu unterbreiten. Er wird jedoch im Rahmen der einzelnen </w:t>
      </w:r>
      <w:r w:rsidR="00DD73CA">
        <w:rPr>
          <w:rFonts w:ascii="Arial" w:hAnsi="Arial" w:cs="Arial"/>
          <w:sz w:val="22"/>
          <w:szCs w:val="22"/>
        </w:rPr>
        <w:t>Budgets</w:t>
      </w:r>
      <w:r>
        <w:rPr>
          <w:rFonts w:ascii="Arial" w:hAnsi="Arial" w:cs="Arial"/>
          <w:sz w:val="22"/>
          <w:szCs w:val="22"/>
        </w:rPr>
        <w:t xml:space="preserve"> die Notwendigkeit einzelner Projekte</w:t>
      </w:r>
      <w:r w:rsidR="005552EF">
        <w:rPr>
          <w:rFonts w:ascii="Arial" w:hAnsi="Arial" w:cs="Arial"/>
          <w:sz w:val="22"/>
          <w:szCs w:val="22"/>
        </w:rPr>
        <w:t xml:space="preserve"> nochmals überprüfen</w:t>
      </w:r>
      <w:r>
        <w:rPr>
          <w:rFonts w:ascii="Arial" w:hAnsi="Arial" w:cs="Arial"/>
          <w:sz w:val="22"/>
          <w:szCs w:val="22"/>
        </w:rPr>
        <w:t>.</w:t>
      </w:r>
    </w:p>
    <w:p w:rsidR="007A047D" w:rsidRDefault="007A047D">
      <w:pPr>
        <w:jc w:val="both"/>
        <w:rPr>
          <w:rFonts w:ascii="Arial" w:hAnsi="Arial" w:cs="Arial"/>
          <w:sz w:val="22"/>
        </w:rPr>
      </w:pPr>
    </w:p>
    <w:p w:rsidR="00A82500" w:rsidRPr="008B0AF3" w:rsidRDefault="00A82500">
      <w:pPr>
        <w:jc w:val="both"/>
        <w:rPr>
          <w:rFonts w:ascii="Arial" w:hAnsi="Arial" w:cs="Arial"/>
          <w:sz w:val="22"/>
        </w:rPr>
      </w:pPr>
      <w:r w:rsidRPr="008B0AF3">
        <w:rPr>
          <w:rFonts w:ascii="Arial" w:hAnsi="Arial" w:cs="Arial"/>
          <w:sz w:val="22"/>
        </w:rPr>
        <w:t xml:space="preserve">Die </w:t>
      </w:r>
      <w:r w:rsidR="000208E9" w:rsidRPr="008B0AF3">
        <w:rPr>
          <w:rFonts w:ascii="Arial" w:hAnsi="Arial" w:cs="Arial"/>
          <w:sz w:val="22"/>
        </w:rPr>
        <w:t xml:space="preserve">gesamte Investitionssumme </w:t>
      </w:r>
      <w:r w:rsidRPr="008B0AF3">
        <w:rPr>
          <w:rFonts w:ascii="Arial" w:hAnsi="Arial" w:cs="Arial"/>
          <w:sz w:val="22"/>
        </w:rPr>
        <w:t>teilt sich auf in</w:t>
      </w:r>
      <w:r w:rsidR="0011020E" w:rsidRPr="008B0AF3">
        <w:rPr>
          <w:rFonts w:ascii="Arial" w:hAnsi="Arial" w:cs="Arial"/>
          <w:sz w:val="22"/>
        </w:rPr>
        <w:t>:</w:t>
      </w:r>
    </w:p>
    <w:p w:rsidR="00A82500" w:rsidRPr="008B0AF3" w:rsidRDefault="00A82500">
      <w:pPr>
        <w:jc w:val="both"/>
        <w:rPr>
          <w:rFonts w:ascii="Arial" w:hAnsi="Arial" w:cs="Arial"/>
          <w:sz w:val="8"/>
          <w:szCs w:val="8"/>
        </w:rPr>
      </w:pPr>
    </w:p>
    <w:tbl>
      <w:tblPr>
        <w:tblW w:w="0" w:type="auto"/>
        <w:tblBorders>
          <w:top w:val="single" w:sz="8" w:space="0" w:color="000000"/>
          <w:bottom w:val="single" w:sz="8" w:space="0" w:color="000000"/>
        </w:tblBorders>
        <w:tblLook w:val="04A0"/>
      </w:tblPr>
      <w:tblGrid>
        <w:gridCol w:w="5826"/>
        <w:gridCol w:w="1512"/>
        <w:gridCol w:w="1842"/>
      </w:tblGrid>
      <w:tr w:rsidR="00307F18" w:rsidRPr="008B0AF3" w:rsidTr="00307F18">
        <w:tc>
          <w:tcPr>
            <w:tcW w:w="5826" w:type="dxa"/>
            <w:tcBorders>
              <w:top w:val="single" w:sz="8" w:space="0" w:color="000000"/>
              <w:left w:val="nil"/>
              <w:bottom w:val="single" w:sz="8" w:space="0" w:color="000000"/>
              <w:right w:val="nil"/>
            </w:tcBorders>
          </w:tcPr>
          <w:p w:rsidR="00307F18" w:rsidRPr="008B0AF3" w:rsidRDefault="00307F18" w:rsidP="00485065">
            <w:pPr>
              <w:jc w:val="both"/>
              <w:rPr>
                <w:rFonts w:ascii="Arial" w:hAnsi="Arial" w:cs="Arial"/>
                <w:b/>
                <w:bCs/>
                <w:sz w:val="22"/>
                <w:szCs w:val="22"/>
              </w:rPr>
            </w:pPr>
            <w:r w:rsidRPr="008B0AF3">
              <w:rPr>
                <w:rFonts w:ascii="Arial" w:hAnsi="Arial" w:cs="Arial"/>
                <w:b/>
                <w:bCs/>
                <w:sz w:val="22"/>
                <w:szCs w:val="22"/>
              </w:rPr>
              <w:t>Kategorie</w:t>
            </w:r>
          </w:p>
        </w:tc>
        <w:tc>
          <w:tcPr>
            <w:tcW w:w="1512" w:type="dxa"/>
            <w:tcBorders>
              <w:top w:val="single" w:sz="8" w:space="0" w:color="000000"/>
              <w:left w:val="nil"/>
              <w:bottom w:val="single" w:sz="8" w:space="0" w:color="000000"/>
              <w:right w:val="nil"/>
            </w:tcBorders>
          </w:tcPr>
          <w:p w:rsidR="00307F18" w:rsidRPr="008B0AF3" w:rsidRDefault="00307F18" w:rsidP="00485065">
            <w:pPr>
              <w:jc w:val="right"/>
              <w:rPr>
                <w:rFonts w:ascii="Arial" w:hAnsi="Arial" w:cs="Arial"/>
                <w:b/>
                <w:bCs/>
                <w:iCs/>
                <w:sz w:val="22"/>
                <w:szCs w:val="22"/>
                <w:lang w:val="de-CH"/>
              </w:rPr>
            </w:pPr>
          </w:p>
        </w:tc>
        <w:tc>
          <w:tcPr>
            <w:tcW w:w="1842" w:type="dxa"/>
            <w:tcBorders>
              <w:top w:val="single" w:sz="8" w:space="0" w:color="000000"/>
              <w:left w:val="nil"/>
              <w:bottom w:val="single" w:sz="8" w:space="0" w:color="000000"/>
              <w:right w:val="nil"/>
            </w:tcBorders>
          </w:tcPr>
          <w:p w:rsidR="00307F18" w:rsidRPr="008B0AF3" w:rsidRDefault="00307F18" w:rsidP="00485065">
            <w:pPr>
              <w:jc w:val="right"/>
              <w:rPr>
                <w:rFonts w:ascii="Arial" w:hAnsi="Arial" w:cs="Arial"/>
                <w:b/>
                <w:bCs/>
                <w:sz w:val="22"/>
                <w:szCs w:val="22"/>
                <w:lang w:val="de-CH"/>
              </w:rPr>
            </w:pPr>
            <w:r w:rsidRPr="008B0AF3">
              <w:rPr>
                <w:rFonts w:ascii="Arial" w:hAnsi="Arial" w:cs="Arial"/>
                <w:b/>
                <w:bCs/>
                <w:iCs/>
                <w:sz w:val="22"/>
                <w:szCs w:val="22"/>
                <w:lang w:val="de-CH"/>
              </w:rPr>
              <w:t>Anteil</w:t>
            </w:r>
          </w:p>
        </w:tc>
      </w:tr>
      <w:tr w:rsidR="00307F18" w:rsidRPr="008B0AF3" w:rsidTr="00307F18">
        <w:tc>
          <w:tcPr>
            <w:tcW w:w="5826" w:type="dxa"/>
            <w:tcBorders>
              <w:left w:val="nil"/>
              <w:right w:val="nil"/>
            </w:tcBorders>
            <w:shd w:val="clear" w:color="auto" w:fill="C0C0C0"/>
          </w:tcPr>
          <w:p w:rsidR="00307F18" w:rsidRPr="008B0AF3" w:rsidRDefault="00307F18" w:rsidP="00485065">
            <w:pPr>
              <w:jc w:val="both"/>
              <w:rPr>
                <w:rFonts w:ascii="Arial" w:hAnsi="Arial" w:cs="Arial"/>
                <w:bCs/>
                <w:sz w:val="22"/>
              </w:rPr>
            </w:pPr>
            <w:r w:rsidRPr="008B0AF3">
              <w:rPr>
                <w:rFonts w:ascii="Arial" w:hAnsi="Arial" w:cs="Arial"/>
                <w:bCs/>
                <w:sz w:val="22"/>
              </w:rPr>
              <w:t>A  Werterhaltende und ausserordentliche Investitionen</w:t>
            </w:r>
          </w:p>
        </w:tc>
        <w:tc>
          <w:tcPr>
            <w:tcW w:w="1512" w:type="dxa"/>
            <w:tcBorders>
              <w:left w:val="nil"/>
              <w:right w:val="nil"/>
            </w:tcBorders>
            <w:shd w:val="clear" w:color="auto" w:fill="C0C0C0"/>
          </w:tcPr>
          <w:p w:rsidR="00307F18" w:rsidRPr="008B0AF3" w:rsidRDefault="00307F18" w:rsidP="00485065">
            <w:pPr>
              <w:jc w:val="right"/>
              <w:rPr>
                <w:rFonts w:ascii="Arial" w:hAnsi="Arial" w:cs="Arial"/>
                <w:sz w:val="22"/>
              </w:rPr>
            </w:pPr>
          </w:p>
        </w:tc>
        <w:tc>
          <w:tcPr>
            <w:tcW w:w="1842" w:type="dxa"/>
            <w:tcBorders>
              <w:left w:val="nil"/>
              <w:right w:val="nil"/>
            </w:tcBorders>
            <w:shd w:val="clear" w:color="auto" w:fill="C0C0C0"/>
          </w:tcPr>
          <w:p w:rsidR="00307F18" w:rsidRPr="008B0AF3" w:rsidRDefault="00777B62" w:rsidP="00485065">
            <w:pPr>
              <w:jc w:val="right"/>
              <w:rPr>
                <w:rFonts w:ascii="Arial" w:hAnsi="Arial" w:cs="Arial"/>
                <w:b/>
                <w:sz w:val="22"/>
              </w:rPr>
            </w:pPr>
            <w:r>
              <w:rPr>
                <w:rFonts w:ascii="Arial" w:hAnsi="Arial" w:cs="Arial"/>
                <w:b/>
                <w:sz w:val="22"/>
              </w:rPr>
              <w:t>36.5</w:t>
            </w:r>
            <w:r w:rsidR="00307F18" w:rsidRPr="008B0AF3">
              <w:rPr>
                <w:rFonts w:ascii="Arial" w:hAnsi="Arial" w:cs="Arial"/>
                <w:b/>
                <w:sz w:val="22"/>
              </w:rPr>
              <w:t xml:space="preserve"> %</w:t>
            </w:r>
          </w:p>
        </w:tc>
      </w:tr>
      <w:tr w:rsidR="00307F18" w:rsidRPr="008B0AF3" w:rsidTr="00307F18">
        <w:tc>
          <w:tcPr>
            <w:tcW w:w="5826" w:type="dxa"/>
          </w:tcPr>
          <w:p w:rsidR="00307F18" w:rsidRPr="008B0AF3" w:rsidRDefault="00307F18" w:rsidP="00485065">
            <w:pPr>
              <w:jc w:val="both"/>
              <w:rPr>
                <w:rFonts w:ascii="Arial" w:hAnsi="Arial" w:cs="Arial"/>
                <w:bCs/>
                <w:sz w:val="22"/>
              </w:rPr>
            </w:pPr>
            <w:r w:rsidRPr="008B0AF3">
              <w:rPr>
                <w:rFonts w:ascii="Arial" w:hAnsi="Arial" w:cs="Arial"/>
                <w:bCs/>
                <w:sz w:val="22"/>
              </w:rPr>
              <w:t xml:space="preserve">B  Entwicklungsinvestitionen </w:t>
            </w:r>
          </w:p>
        </w:tc>
        <w:tc>
          <w:tcPr>
            <w:tcW w:w="1512" w:type="dxa"/>
          </w:tcPr>
          <w:p w:rsidR="00307F18" w:rsidRPr="008B0AF3" w:rsidRDefault="00307F18" w:rsidP="00485065">
            <w:pPr>
              <w:jc w:val="right"/>
              <w:rPr>
                <w:rFonts w:ascii="Arial" w:hAnsi="Arial" w:cs="Arial"/>
                <w:sz w:val="22"/>
              </w:rPr>
            </w:pPr>
          </w:p>
        </w:tc>
        <w:tc>
          <w:tcPr>
            <w:tcW w:w="1842" w:type="dxa"/>
          </w:tcPr>
          <w:p w:rsidR="00307F18" w:rsidRPr="008B0AF3" w:rsidRDefault="00777B62" w:rsidP="001E6BEA">
            <w:pPr>
              <w:jc w:val="right"/>
              <w:rPr>
                <w:rFonts w:ascii="Arial" w:hAnsi="Arial" w:cs="Arial"/>
                <w:b/>
                <w:sz w:val="22"/>
              </w:rPr>
            </w:pPr>
            <w:r>
              <w:rPr>
                <w:rFonts w:ascii="Arial" w:hAnsi="Arial" w:cs="Arial"/>
                <w:b/>
                <w:sz w:val="22"/>
              </w:rPr>
              <w:t>46.0</w:t>
            </w:r>
            <w:r w:rsidR="00307F18" w:rsidRPr="008B0AF3">
              <w:rPr>
                <w:rFonts w:ascii="Arial" w:hAnsi="Arial" w:cs="Arial"/>
                <w:b/>
                <w:sz w:val="22"/>
              </w:rPr>
              <w:t xml:space="preserve"> %</w:t>
            </w:r>
          </w:p>
        </w:tc>
      </w:tr>
      <w:tr w:rsidR="00307F18" w:rsidRPr="008B0AF3" w:rsidTr="00307F18">
        <w:tc>
          <w:tcPr>
            <w:tcW w:w="5826" w:type="dxa"/>
            <w:tcBorders>
              <w:left w:val="nil"/>
              <w:right w:val="nil"/>
            </w:tcBorders>
            <w:shd w:val="clear" w:color="auto" w:fill="C0C0C0"/>
          </w:tcPr>
          <w:p w:rsidR="00307F18" w:rsidRPr="008B0AF3" w:rsidRDefault="00307F18" w:rsidP="00485065">
            <w:pPr>
              <w:jc w:val="both"/>
              <w:rPr>
                <w:rFonts w:ascii="Arial" w:hAnsi="Arial" w:cs="Arial"/>
                <w:bCs/>
                <w:sz w:val="22"/>
              </w:rPr>
            </w:pPr>
            <w:r w:rsidRPr="008B0AF3">
              <w:rPr>
                <w:rFonts w:ascii="Arial" w:hAnsi="Arial" w:cs="Arial"/>
                <w:bCs/>
                <w:sz w:val="22"/>
              </w:rPr>
              <w:t>C  Investitionsbeiträge an Kanton</w:t>
            </w:r>
          </w:p>
        </w:tc>
        <w:tc>
          <w:tcPr>
            <w:tcW w:w="1512" w:type="dxa"/>
            <w:tcBorders>
              <w:left w:val="nil"/>
              <w:right w:val="nil"/>
            </w:tcBorders>
            <w:shd w:val="clear" w:color="auto" w:fill="C0C0C0"/>
          </w:tcPr>
          <w:p w:rsidR="00307F18" w:rsidRPr="008B0AF3" w:rsidRDefault="00307F18" w:rsidP="00485065">
            <w:pPr>
              <w:jc w:val="right"/>
              <w:rPr>
                <w:rFonts w:ascii="Arial" w:hAnsi="Arial" w:cs="Arial"/>
                <w:sz w:val="22"/>
              </w:rPr>
            </w:pPr>
          </w:p>
        </w:tc>
        <w:tc>
          <w:tcPr>
            <w:tcW w:w="1842" w:type="dxa"/>
            <w:tcBorders>
              <w:left w:val="nil"/>
              <w:right w:val="nil"/>
            </w:tcBorders>
            <w:shd w:val="clear" w:color="auto" w:fill="C0C0C0"/>
          </w:tcPr>
          <w:p w:rsidR="00307F18" w:rsidRPr="008B0AF3" w:rsidRDefault="00777B62" w:rsidP="00485065">
            <w:pPr>
              <w:jc w:val="right"/>
              <w:rPr>
                <w:rFonts w:ascii="Arial" w:hAnsi="Arial" w:cs="Arial"/>
                <w:b/>
                <w:sz w:val="22"/>
              </w:rPr>
            </w:pPr>
            <w:r>
              <w:rPr>
                <w:rFonts w:ascii="Arial" w:hAnsi="Arial" w:cs="Arial"/>
                <w:b/>
                <w:sz w:val="22"/>
              </w:rPr>
              <w:t>8</w:t>
            </w:r>
            <w:r w:rsidR="008B0AF3" w:rsidRPr="008B0AF3">
              <w:rPr>
                <w:rFonts w:ascii="Arial" w:hAnsi="Arial" w:cs="Arial"/>
                <w:b/>
                <w:sz w:val="22"/>
              </w:rPr>
              <w:t>.4</w:t>
            </w:r>
            <w:r w:rsidR="00307F18" w:rsidRPr="008B0AF3">
              <w:rPr>
                <w:rFonts w:ascii="Arial" w:hAnsi="Arial" w:cs="Arial"/>
                <w:b/>
                <w:sz w:val="22"/>
              </w:rPr>
              <w:t xml:space="preserve"> %</w:t>
            </w:r>
          </w:p>
        </w:tc>
      </w:tr>
      <w:tr w:rsidR="00307F18" w:rsidRPr="008B0AF3" w:rsidTr="00307F18">
        <w:tc>
          <w:tcPr>
            <w:tcW w:w="5826" w:type="dxa"/>
          </w:tcPr>
          <w:p w:rsidR="00307F18" w:rsidRPr="008B0AF3" w:rsidRDefault="00307F18" w:rsidP="00485065">
            <w:pPr>
              <w:jc w:val="both"/>
              <w:rPr>
                <w:rFonts w:ascii="Arial" w:hAnsi="Arial" w:cs="Arial"/>
                <w:bCs/>
                <w:sz w:val="22"/>
              </w:rPr>
            </w:pPr>
            <w:r w:rsidRPr="008B0AF3">
              <w:rPr>
                <w:rFonts w:ascii="Arial" w:hAnsi="Arial" w:cs="Arial"/>
                <w:bCs/>
                <w:sz w:val="22"/>
              </w:rPr>
              <w:t>D  Investitionen mit Spezialfinanzierungen</w:t>
            </w:r>
          </w:p>
        </w:tc>
        <w:tc>
          <w:tcPr>
            <w:tcW w:w="1512" w:type="dxa"/>
          </w:tcPr>
          <w:p w:rsidR="00307F18" w:rsidRPr="008B0AF3" w:rsidRDefault="00307F18" w:rsidP="00091D36">
            <w:pPr>
              <w:jc w:val="right"/>
              <w:rPr>
                <w:rFonts w:ascii="Arial" w:hAnsi="Arial" w:cs="Arial"/>
                <w:sz w:val="22"/>
              </w:rPr>
            </w:pPr>
          </w:p>
        </w:tc>
        <w:tc>
          <w:tcPr>
            <w:tcW w:w="1842" w:type="dxa"/>
          </w:tcPr>
          <w:p w:rsidR="00307F18" w:rsidRPr="008B0AF3" w:rsidRDefault="00777B62" w:rsidP="00091D36">
            <w:pPr>
              <w:jc w:val="right"/>
              <w:rPr>
                <w:rFonts w:ascii="Arial" w:hAnsi="Arial" w:cs="Arial"/>
                <w:b/>
                <w:sz w:val="22"/>
              </w:rPr>
            </w:pPr>
            <w:r>
              <w:rPr>
                <w:rFonts w:ascii="Arial" w:hAnsi="Arial" w:cs="Arial"/>
                <w:b/>
                <w:sz w:val="22"/>
              </w:rPr>
              <w:t>9</w:t>
            </w:r>
            <w:r w:rsidR="008B0AF3" w:rsidRPr="008B0AF3">
              <w:rPr>
                <w:rFonts w:ascii="Arial" w:hAnsi="Arial" w:cs="Arial"/>
                <w:b/>
                <w:sz w:val="22"/>
              </w:rPr>
              <w:t>.1</w:t>
            </w:r>
            <w:r w:rsidR="00307F18" w:rsidRPr="008B0AF3">
              <w:rPr>
                <w:rFonts w:ascii="Arial" w:hAnsi="Arial" w:cs="Arial"/>
                <w:b/>
                <w:sz w:val="22"/>
              </w:rPr>
              <w:t xml:space="preserve"> %</w:t>
            </w:r>
          </w:p>
        </w:tc>
      </w:tr>
    </w:tbl>
    <w:p w:rsidR="00A82500" w:rsidRPr="00D03F13" w:rsidRDefault="00A82500">
      <w:pPr>
        <w:jc w:val="both"/>
        <w:rPr>
          <w:rFonts w:ascii="Arial" w:hAnsi="Arial" w:cs="Arial"/>
          <w:color w:val="FF0000"/>
          <w:sz w:val="22"/>
        </w:rPr>
      </w:pPr>
      <w:r w:rsidRPr="00D03F13">
        <w:rPr>
          <w:rFonts w:ascii="Arial" w:hAnsi="Arial" w:cs="Arial"/>
          <w:color w:val="FF0000"/>
          <w:sz w:val="22"/>
        </w:rPr>
        <w:t xml:space="preserve"> </w:t>
      </w:r>
    </w:p>
    <w:p w:rsidR="00502F57" w:rsidRPr="008B0AF3" w:rsidRDefault="0011020E" w:rsidP="00502F57">
      <w:pPr>
        <w:tabs>
          <w:tab w:val="left" w:pos="5954"/>
        </w:tabs>
        <w:jc w:val="both"/>
        <w:rPr>
          <w:rFonts w:ascii="Arial" w:hAnsi="Arial" w:cs="Arial"/>
          <w:sz w:val="22"/>
        </w:rPr>
      </w:pPr>
      <w:r w:rsidRPr="008B0AF3">
        <w:rPr>
          <w:rFonts w:ascii="Arial" w:hAnsi="Arial" w:cs="Arial"/>
          <w:sz w:val="22"/>
        </w:rPr>
        <w:t>Durch den Stadtrat priorisierte, aber noch nicht bewilligte Projekte sind mit fol</w:t>
      </w:r>
      <w:r w:rsidR="00245727" w:rsidRPr="008B0AF3">
        <w:rPr>
          <w:rFonts w:ascii="Arial" w:hAnsi="Arial" w:cs="Arial"/>
          <w:sz w:val="22"/>
        </w:rPr>
        <w:t>g</w:t>
      </w:r>
      <w:r w:rsidRPr="008B0AF3">
        <w:rPr>
          <w:rFonts w:ascii="Arial" w:hAnsi="Arial" w:cs="Arial"/>
          <w:sz w:val="22"/>
        </w:rPr>
        <w:t>enden Summen (in Mio. Fr.) eingeplant:</w:t>
      </w:r>
    </w:p>
    <w:p w:rsidR="00502F57" w:rsidRPr="008B0AF3" w:rsidRDefault="00A82500" w:rsidP="00502F57">
      <w:pPr>
        <w:tabs>
          <w:tab w:val="left" w:pos="5954"/>
        </w:tabs>
        <w:jc w:val="both"/>
        <w:rPr>
          <w:rFonts w:ascii="Arial" w:hAnsi="Arial" w:cs="Arial"/>
          <w:i/>
          <w:iCs/>
          <w:sz w:val="8"/>
          <w:szCs w:val="8"/>
        </w:rPr>
      </w:pPr>
      <w:r w:rsidRPr="008B0AF3">
        <w:rPr>
          <w:rFonts w:ascii="Arial" w:hAnsi="Arial" w:cs="Arial"/>
          <w:sz w:val="8"/>
          <w:szCs w:val="8"/>
        </w:rPr>
        <w:tab/>
      </w:r>
      <w:r w:rsidR="00502F57" w:rsidRPr="008B0AF3">
        <w:rPr>
          <w:rFonts w:ascii="Arial" w:hAnsi="Arial" w:cs="Arial"/>
          <w:sz w:val="8"/>
          <w:szCs w:val="8"/>
        </w:rPr>
        <w:tab/>
      </w:r>
      <w:r w:rsidRPr="008B0AF3">
        <w:rPr>
          <w:rFonts w:ascii="Arial" w:hAnsi="Arial" w:cs="Arial"/>
          <w:i/>
          <w:iCs/>
          <w:sz w:val="8"/>
          <w:szCs w:val="8"/>
        </w:rPr>
        <w:t xml:space="preserve"> </w:t>
      </w:r>
    </w:p>
    <w:tbl>
      <w:tblPr>
        <w:tblStyle w:val="HelleSchattierung1"/>
        <w:tblW w:w="9181" w:type="dxa"/>
        <w:tblLook w:val="04A0"/>
      </w:tblPr>
      <w:tblGrid>
        <w:gridCol w:w="6629"/>
        <w:gridCol w:w="1276"/>
        <w:gridCol w:w="1276"/>
      </w:tblGrid>
      <w:tr w:rsidR="00F64612" w:rsidRPr="008B0AF3" w:rsidTr="00307F18">
        <w:trPr>
          <w:cnfStyle w:val="100000000000"/>
        </w:trPr>
        <w:tc>
          <w:tcPr>
            <w:cnfStyle w:val="001000000000"/>
            <w:tcW w:w="6629" w:type="dxa"/>
          </w:tcPr>
          <w:p w:rsidR="00F64612" w:rsidRPr="008B0AF3" w:rsidRDefault="00F64612" w:rsidP="00485065">
            <w:pPr>
              <w:jc w:val="both"/>
              <w:rPr>
                <w:rFonts w:ascii="Arial" w:hAnsi="Arial" w:cs="Arial"/>
                <w:color w:val="auto"/>
                <w:sz w:val="22"/>
              </w:rPr>
            </w:pPr>
            <w:r w:rsidRPr="008B0AF3">
              <w:rPr>
                <w:rFonts w:ascii="Arial" w:hAnsi="Arial" w:cs="Arial"/>
                <w:color w:val="auto"/>
                <w:sz w:val="22"/>
              </w:rPr>
              <w:t>Projekt</w:t>
            </w:r>
          </w:p>
        </w:tc>
        <w:tc>
          <w:tcPr>
            <w:tcW w:w="1276" w:type="dxa"/>
          </w:tcPr>
          <w:p w:rsidR="00F64612" w:rsidRPr="008B0AF3" w:rsidRDefault="00F64612" w:rsidP="00F64612">
            <w:pPr>
              <w:cnfStyle w:val="100000000000"/>
              <w:rPr>
                <w:rFonts w:ascii="Arial" w:hAnsi="Arial" w:cs="Arial"/>
                <w:color w:val="auto"/>
                <w:sz w:val="22"/>
              </w:rPr>
            </w:pPr>
            <w:r w:rsidRPr="008B0AF3">
              <w:rPr>
                <w:rFonts w:ascii="Arial" w:hAnsi="Arial" w:cs="Arial"/>
                <w:color w:val="auto"/>
                <w:sz w:val="22"/>
              </w:rPr>
              <w:t>Organ</w:t>
            </w:r>
          </w:p>
        </w:tc>
        <w:tc>
          <w:tcPr>
            <w:tcW w:w="1276" w:type="dxa"/>
          </w:tcPr>
          <w:p w:rsidR="00F64612" w:rsidRPr="008B0AF3" w:rsidRDefault="00F64612" w:rsidP="00344C1A">
            <w:pPr>
              <w:jc w:val="right"/>
              <w:cnfStyle w:val="100000000000"/>
              <w:rPr>
                <w:rFonts w:ascii="Arial" w:hAnsi="Arial" w:cs="Arial"/>
                <w:color w:val="auto"/>
                <w:sz w:val="22"/>
              </w:rPr>
            </w:pPr>
            <w:r w:rsidRPr="008B0AF3">
              <w:rPr>
                <w:rFonts w:ascii="Arial" w:hAnsi="Arial" w:cs="Arial"/>
                <w:color w:val="auto"/>
                <w:sz w:val="22"/>
              </w:rPr>
              <w:t>Betrag</w:t>
            </w:r>
          </w:p>
        </w:tc>
      </w:tr>
      <w:tr w:rsidR="00307F18" w:rsidRPr="008B0AF3" w:rsidTr="00307F18">
        <w:trPr>
          <w:cnfStyle w:val="000000100000"/>
        </w:trPr>
        <w:tc>
          <w:tcPr>
            <w:cnfStyle w:val="001000000000"/>
            <w:tcW w:w="6629" w:type="dxa"/>
          </w:tcPr>
          <w:p w:rsidR="00307F18" w:rsidRPr="008B0AF3" w:rsidRDefault="00307F18" w:rsidP="00485065">
            <w:pPr>
              <w:jc w:val="both"/>
              <w:rPr>
                <w:rFonts w:ascii="Arial" w:hAnsi="Arial" w:cs="Arial"/>
                <w:b w:val="0"/>
                <w:bCs w:val="0"/>
                <w:color w:val="auto"/>
                <w:sz w:val="22"/>
              </w:rPr>
            </w:pPr>
            <w:r w:rsidRPr="008B0AF3">
              <w:rPr>
                <w:rFonts w:ascii="Arial" w:hAnsi="Arial" w:cs="Arial"/>
                <w:b w:val="0"/>
                <w:bCs w:val="0"/>
                <w:color w:val="auto"/>
                <w:sz w:val="22"/>
              </w:rPr>
              <w:t>Neubau/Sanierung Kunst- und Naturmuseum</w:t>
            </w:r>
          </w:p>
        </w:tc>
        <w:tc>
          <w:tcPr>
            <w:tcW w:w="1276" w:type="dxa"/>
          </w:tcPr>
          <w:p w:rsidR="00307F18" w:rsidRPr="008B0AF3" w:rsidRDefault="00F64612" w:rsidP="00F64612">
            <w:pPr>
              <w:cnfStyle w:val="000000100000"/>
              <w:rPr>
                <w:rFonts w:ascii="Arial" w:hAnsi="Arial" w:cs="Arial"/>
                <w:color w:val="auto"/>
                <w:sz w:val="22"/>
              </w:rPr>
            </w:pPr>
            <w:r w:rsidRPr="008B0AF3">
              <w:rPr>
                <w:rFonts w:ascii="Arial" w:hAnsi="Arial" w:cs="Arial"/>
                <w:color w:val="auto"/>
                <w:sz w:val="22"/>
              </w:rPr>
              <w:t>Gemeinde</w:t>
            </w:r>
          </w:p>
        </w:tc>
        <w:tc>
          <w:tcPr>
            <w:tcW w:w="1276" w:type="dxa"/>
          </w:tcPr>
          <w:p w:rsidR="00307F18" w:rsidRPr="008B0AF3" w:rsidRDefault="00777B62" w:rsidP="00344C1A">
            <w:pPr>
              <w:jc w:val="right"/>
              <w:cnfStyle w:val="000000100000"/>
              <w:rPr>
                <w:rFonts w:ascii="Arial" w:hAnsi="Arial" w:cs="Arial"/>
                <w:b/>
                <w:color w:val="auto"/>
                <w:sz w:val="22"/>
              </w:rPr>
            </w:pPr>
            <w:r>
              <w:rPr>
                <w:rFonts w:ascii="Arial" w:hAnsi="Arial" w:cs="Arial"/>
                <w:color w:val="auto"/>
                <w:sz w:val="22"/>
              </w:rPr>
              <w:t>6</w:t>
            </w:r>
            <w:r w:rsidR="001E6BEA" w:rsidRPr="008B0AF3">
              <w:rPr>
                <w:rFonts w:ascii="Arial" w:hAnsi="Arial" w:cs="Arial"/>
                <w:color w:val="auto"/>
                <w:sz w:val="22"/>
              </w:rPr>
              <w:t>.6</w:t>
            </w:r>
          </w:p>
        </w:tc>
      </w:tr>
      <w:tr w:rsidR="00307F18" w:rsidRPr="008B0AF3" w:rsidTr="00307F18">
        <w:tc>
          <w:tcPr>
            <w:cnfStyle w:val="001000000000"/>
            <w:tcW w:w="6629" w:type="dxa"/>
          </w:tcPr>
          <w:p w:rsidR="00307F18" w:rsidRPr="008B0AF3" w:rsidRDefault="00307F18" w:rsidP="00DE7099">
            <w:pPr>
              <w:jc w:val="both"/>
              <w:rPr>
                <w:rFonts w:ascii="Arial" w:hAnsi="Arial" w:cs="Arial"/>
                <w:b w:val="0"/>
                <w:bCs w:val="0"/>
                <w:color w:val="auto"/>
                <w:sz w:val="22"/>
              </w:rPr>
            </w:pPr>
            <w:r w:rsidRPr="008B0AF3">
              <w:rPr>
                <w:rFonts w:ascii="Arial" w:hAnsi="Arial" w:cs="Arial"/>
                <w:b w:val="0"/>
                <w:bCs w:val="0"/>
                <w:color w:val="auto"/>
                <w:sz w:val="22"/>
              </w:rPr>
              <w:t>Fussgänger- und Veloverbindung Hammerallee/Olten Südwest</w:t>
            </w:r>
          </w:p>
        </w:tc>
        <w:tc>
          <w:tcPr>
            <w:tcW w:w="1276" w:type="dxa"/>
          </w:tcPr>
          <w:p w:rsidR="00307F18" w:rsidRPr="008B0AF3" w:rsidRDefault="00F64612" w:rsidP="00F64612">
            <w:pPr>
              <w:cnfStyle w:val="000000000000"/>
              <w:rPr>
                <w:rFonts w:ascii="Arial" w:hAnsi="Arial" w:cs="Arial"/>
                <w:color w:val="auto"/>
                <w:sz w:val="22"/>
              </w:rPr>
            </w:pPr>
            <w:r w:rsidRPr="008B0AF3">
              <w:rPr>
                <w:rFonts w:ascii="Arial" w:hAnsi="Arial" w:cs="Arial"/>
                <w:color w:val="auto"/>
                <w:sz w:val="22"/>
              </w:rPr>
              <w:t>Gemeinde</w:t>
            </w:r>
          </w:p>
        </w:tc>
        <w:tc>
          <w:tcPr>
            <w:tcW w:w="1276" w:type="dxa"/>
          </w:tcPr>
          <w:p w:rsidR="00307F18" w:rsidRPr="008B0AF3" w:rsidRDefault="001E6BEA" w:rsidP="00344C1A">
            <w:pPr>
              <w:jc w:val="right"/>
              <w:cnfStyle w:val="000000000000"/>
              <w:rPr>
                <w:rFonts w:ascii="Arial" w:hAnsi="Arial" w:cs="Arial"/>
                <w:color w:val="auto"/>
                <w:sz w:val="22"/>
              </w:rPr>
            </w:pPr>
            <w:r w:rsidRPr="008B0AF3">
              <w:rPr>
                <w:rFonts w:ascii="Arial" w:hAnsi="Arial" w:cs="Arial"/>
                <w:color w:val="auto"/>
                <w:sz w:val="22"/>
              </w:rPr>
              <w:t>12.9</w:t>
            </w:r>
          </w:p>
        </w:tc>
      </w:tr>
      <w:tr w:rsidR="00307F18" w:rsidRPr="008B0AF3" w:rsidTr="00307F18">
        <w:trPr>
          <w:cnfStyle w:val="000000100000"/>
        </w:trPr>
        <w:tc>
          <w:tcPr>
            <w:cnfStyle w:val="001000000000"/>
            <w:tcW w:w="6629" w:type="dxa"/>
          </w:tcPr>
          <w:p w:rsidR="00307F18" w:rsidRPr="008B0AF3" w:rsidRDefault="00307F18" w:rsidP="001E6BEA">
            <w:pPr>
              <w:jc w:val="both"/>
              <w:rPr>
                <w:rFonts w:ascii="Arial" w:hAnsi="Arial" w:cs="Arial"/>
                <w:b w:val="0"/>
                <w:bCs w:val="0"/>
                <w:color w:val="auto"/>
                <w:sz w:val="22"/>
              </w:rPr>
            </w:pPr>
            <w:r w:rsidRPr="008B0AF3">
              <w:rPr>
                <w:rFonts w:ascii="Arial" w:hAnsi="Arial" w:cs="Arial"/>
                <w:b w:val="0"/>
                <w:bCs w:val="0"/>
                <w:color w:val="auto"/>
                <w:sz w:val="22"/>
              </w:rPr>
              <w:t>Bahnhofplatz</w:t>
            </w:r>
          </w:p>
        </w:tc>
        <w:tc>
          <w:tcPr>
            <w:tcW w:w="1276" w:type="dxa"/>
          </w:tcPr>
          <w:p w:rsidR="00307F18" w:rsidRPr="008B0AF3" w:rsidRDefault="00F64612" w:rsidP="00F64612">
            <w:pPr>
              <w:cnfStyle w:val="000000100000"/>
              <w:rPr>
                <w:rFonts w:ascii="Arial" w:hAnsi="Arial" w:cs="Arial"/>
                <w:color w:val="auto"/>
                <w:sz w:val="22"/>
              </w:rPr>
            </w:pPr>
            <w:r w:rsidRPr="008B0AF3">
              <w:rPr>
                <w:rFonts w:ascii="Arial" w:hAnsi="Arial" w:cs="Arial"/>
                <w:color w:val="auto"/>
                <w:sz w:val="22"/>
              </w:rPr>
              <w:t>Gemeinde</w:t>
            </w:r>
          </w:p>
        </w:tc>
        <w:tc>
          <w:tcPr>
            <w:tcW w:w="1276" w:type="dxa"/>
          </w:tcPr>
          <w:p w:rsidR="00307F18" w:rsidRPr="008B0AF3" w:rsidRDefault="001E6BEA" w:rsidP="00344C1A">
            <w:pPr>
              <w:jc w:val="right"/>
              <w:cnfStyle w:val="000000100000"/>
              <w:rPr>
                <w:rFonts w:ascii="Arial" w:hAnsi="Arial" w:cs="Arial"/>
                <w:color w:val="auto"/>
                <w:sz w:val="22"/>
              </w:rPr>
            </w:pPr>
            <w:r w:rsidRPr="008B0AF3">
              <w:rPr>
                <w:rFonts w:ascii="Arial" w:hAnsi="Arial" w:cs="Arial"/>
                <w:color w:val="auto"/>
                <w:sz w:val="22"/>
              </w:rPr>
              <w:t>11.4</w:t>
            </w:r>
          </w:p>
        </w:tc>
      </w:tr>
    </w:tbl>
    <w:p w:rsidR="00DE7099" w:rsidRPr="00D03F13" w:rsidRDefault="00DE7099">
      <w:pPr>
        <w:pStyle w:val="Textkrper3"/>
        <w:numPr>
          <w:ilvl w:val="12"/>
          <w:numId w:val="0"/>
        </w:numPr>
        <w:rPr>
          <w:color w:val="FF0000"/>
        </w:rPr>
      </w:pPr>
    </w:p>
    <w:p w:rsidR="00DE7099" w:rsidRPr="008B0AF3" w:rsidRDefault="0011020E">
      <w:pPr>
        <w:pStyle w:val="Textkrper3"/>
        <w:numPr>
          <w:ilvl w:val="12"/>
          <w:numId w:val="0"/>
        </w:numPr>
      </w:pPr>
      <w:r w:rsidRPr="008B0AF3">
        <w:t>In der Investitionsplanung befinden sich auch folgende in den Vorjahren priorisierte, bewilligte und ganz oder teilweise vorfinanzierte Projekte (in Mio. Fr.):</w:t>
      </w:r>
    </w:p>
    <w:p w:rsidR="00905E47" w:rsidRPr="008B0AF3" w:rsidRDefault="00905E47">
      <w:pPr>
        <w:pStyle w:val="Textkrper3"/>
        <w:numPr>
          <w:ilvl w:val="12"/>
          <w:numId w:val="0"/>
        </w:numPr>
        <w:rPr>
          <w:sz w:val="8"/>
          <w:szCs w:val="8"/>
        </w:rPr>
      </w:pPr>
    </w:p>
    <w:tbl>
      <w:tblPr>
        <w:tblStyle w:val="HelleSchattierung1"/>
        <w:tblW w:w="9181" w:type="dxa"/>
        <w:tblLook w:val="04A0"/>
      </w:tblPr>
      <w:tblGrid>
        <w:gridCol w:w="6541"/>
        <w:gridCol w:w="1232"/>
        <w:gridCol w:w="139"/>
        <w:gridCol w:w="1269"/>
      </w:tblGrid>
      <w:tr w:rsidR="00F64612" w:rsidRPr="008B0AF3" w:rsidTr="00FB4AA2">
        <w:trPr>
          <w:cnfStyle w:val="100000000000"/>
        </w:trPr>
        <w:tc>
          <w:tcPr>
            <w:cnfStyle w:val="001000000000"/>
            <w:tcW w:w="6541" w:type="dxa"/>
          </w:tcPr>
          <w:p w:rsidR="00F64612" w:rsidRPr="008B0AF3" w:rsidRDefault="00F64612" w:rsidP="00344C1A">
            <w:pPr>
              <w:jc w:val="both"/>
              <w:rPr>
                <w:rFonts w:ascii="Arial" w:hAnsi="Arial" w:cs="Arial"/>
                <w:color w:val="auto"/>
                <w:sz w:val="22"/>
              </w:rPr>
            </w:pPr>
            <w:r w:rsidRPr="008B0AF3">
              <w:rPr>
                <w:rFonts w:ascii="Arial" w:hAnsi="Arial" w:cs="Arial"/>
                <w:color w:val="auto"/>
                <w:sz w:val="22"/>
              </w:rPr>
              <w:t>Projekt</w:t>
            </w:r>
          </w:p>
        </w:tc>
        <w:tc>
          <w:tcPr>
            <w:tcW w:w="1371" w:type="dxa"/>
            <w:gridSpan w:val="2"/>
          </w:tcPr>
          <w:p w:rsidR="00F64612" w:rsidRPr="008B0AF3" w:rsidRDefault="00F64612" w:rsidP="00F64612">
            <w:pPr>
              <w:cnfStyle w:val="100000000000"/>
              <w:rPr>
                <w:rFonts w:ascii="Arial" w:hAnsi="Arial" w:cs="Arial"/>
                <w:color w:val="auto"/>
                <w:sz w:val="22"/>
              </w:rPr>
            </w:pPr>
            <w:r w:rsidRPr="008B0AF3">
              <w:rPr>
                <w:rFonts w:ascii="Arial" w:hAnsi="Arial" w:cs="Arial"/>
                <w:color w:val="auto"/>
                <w:sz w:val="22"/>
              </w:rPr>
              <w:t>Organ</w:t>
            </w:r>
          </w:p>
        </w:tc>
        <w:tc>
          <w:tcPr>
            <w:tcW w:w="1269" w:type="dxa"/>
          </w:tcPr>
          <w:p w:rsidR="00F64612" w:rsidRPr="008B0AF3" w:rsidRDefault="00F64612" w:rsidP="00344C1A">
            <w:pPr>
              <w:jc w:val="right"/>
              <w:cnfStyle w:val="100000000000"/>
              <w:rPr>
                <w:rFonts w:ascii="Arial" w:hAnsi="Arial" w:cs="Arial"/>
                <w:color w:val="auto"/>
                <w:sz w:val="22"/>
              </w:rPr>
            </w:pPr>
            <w:r w:rsidRPr="008B0AF3">
              <w:rPr>
                <w:rFonts w:ascii="Arial" w:hAnsi="Arial" w:cs="Arial"/>
                <w:color w:val="auto"/>
                <w:sz w:val="22"/>
              </w:rPr>
              <w:t>Betrag</w:t>
            </w:r>
          </w:p>
        </w:tc>
      </w:tr>
      <w:tr w:rsidR="00307F18" w:rsidRPr="008B0AF3" w:rsidTr="00FB4AA2">
        <w:trPr>
          <w:cnfStyle w:val="000000100000"/>
        </w:trPr>
        <w:tc>
          <w:tcPr>
            <w:cnfStyle w:val="001000000000"/>
            <w:tcW w:w="6541" w:type="dxa"/>
          </w:tcPr>
          <w:p w:rsidR="00307F18" w:rsidRPr="008B0AF3" w:rsidRDefault="00307F18" w:rsidP="00FB4AA2">
            <w:pPr>
              <w:jc w:val="both"/>
              <w:rPr>
                <w:rFonts w:ascii="Arial" w:hAnsi="Arial" w:cs="Arial"/>
                <w:b w:val="0"/>
                <w:bCs w:val="0"/>
                <w:color w:val="auto"/>
                <w:sz w:val="22"/>
              </w:rPr>
            </w:pPr>
            <w:r w:rsidRPr="008B0AF3">
              <w:rPr>
                <w:rFonts w:ascii="Arial" w:hAnsi="Arial" w:cs="Arial"/>
                <w:b w:val="0"/>
                <w:bCs w:val="0"/>
                <w:color w:val="auto"/>
                <w:sz w:val="22"/>
              </w:rPr>
              <w:t xml:space="preserve">Attraktivierung Aareraum </w:t>
            </w:r>
          </w:p>
        </w:tc>
        <w:tc>
          <w:tcPr>
            <w:tcW w:w="1232" w:type="dxa"/>
          </w:tcPr>
          <w:p w:rsidR="00307F18" w:rsidRPr="008B0AF3" w:rsidRDefault="00F64612" w:rsidP="00F64612">
            <w:pPr>
              <w:cnfStyle w:val="000000100000"/>
              <w:rPr>
                <w:rFonts w:ascii="Arial" w:hAnsi="Arial" w:cs="Arial"/>
                <w:color w:val="auto"/>
                <w:sz w:val="22"/>
              </w:rPr>
            </w:pPr>
            <w:r w:rsidRPr="008B0AF3">
              <w:rPr>
                <w:rFonts w:ascii="Arial" w:hAnsi="Arial" w:cs="Arial"/>
                <w:color w:val="auto"/>
                <w:sz w:val="22"/>
              </w:rPr>
              <w:t>Gemeinde</w:t>
            </w:r>
          </w:p>
        </w:tc>
        <w:tc>
          <w:tcPr>
            <w:tcW w:w="1408" w:type="dxa"/>
            <w:gridSpan w:val="2"/>
          </w:tcPr>
          <w:p w:rsidR="00307F18" w:rsidRPr="008B0AF3" w:rsidRDefault="00307F18" w:rsidP="00FB4AA2">
            <w:pPr>
              <w:jc w:val="right"/>
              <w:cnfStyle w:val="000000100000"/>
              <w:rPr>
                <w:rFonts w:ascii="Arial" w:hAnsi="Arial" w:cs="Arial"/>
                <w:b/>
                <w:color w:val="auto"/>
                <w:sz w:val="22"/>
              </w:rPr>
            </w:pPr>
            <w:r w:rsidRPr="008B0AF3">
              <w:rPr>
                <w:rFonts w:ascii="Arial" w:hAnsi="Arial" w:cs="Arial"/>
                <w:color w:val="auto"/>
                <w:sz w:val="22"/>
              </w:rPr>
              <w:t xml:space="preserve">  </w:t>
            </w:r>
            <w:r w:rsidR="00FB4AA2" w:rsidRPr="008B0AF3">
              <w:rPr>
                <w:rFonts w:ascii="Arial" w:hAnsi="Arial" w:cs="Arial"/>
                <w:color w:val="auto"/>
                <w:sz w:val="22"/>
              </w:rPr>
              <w:t>10</w:t>
            </w:r>
            <w:r w:rsidRPr="008B0AF3">
              <w:rPr>
                <w:rFonts w:ascii="Arial" w:hAnsi="Arial" w:cs="Arial"/>
                <w:color w:val="auto"/>
                <w:sz w:val="22"/>
              </w:rPr>
              <w:t>.</w:t>
            </w:r>
            <w:r w:rsidR="00FB4AA2" w:rsidRPr="008B0AF3">
              <w:rPr>
                <w:rFonts w:ascii="Arial" w:hAnsi="Arial" w:cs="Arial"/>
                <w:color w:val="auto"/>
                <w:sz w:val="22"/>
              </w:rPr>
              <w:t>5</w:t>
            </w:r>
          </w:p>
        </w:tc>
      </w:tr>
      <w:tr w:rsidR="00307F18" w:rsidRPr="008B0AF3" w:rsidTr="00FB4AA2">
        <w:tc>
          <w:tcPr>
            <w:cnfStyle w:val="001000000000"/>
            <w:tcW w:w="6541" w:type="dxa"/>
          </w:tcPr>
          <w:p w:rsidR="00307F18" w:rsidRPr="008B0AF3" w:rsidRDefault="00307F18" w:rsidP="00344C1A">
            <w:pPr>
              <w:jc w:val="both"/>
              <w:rPr>
                <w:rFonts w:ascii="Arial" w:hAnsi="Arial" w:cs="Arial"/>
                <w:b w:val="0"/>
                <w:bCs w:val="0"/>
                <w:color w:val="auto"/>
                <w:sz w:val="22"/>
              </w:rPr>
            </w:pPr>
            <w:r w:rsidRPr="008B0AF3">
              <w:rPr>
                <w:rFonts w:ascii="Arial" w:hAnsi="Arial" w:cs="Arial"/>
                <w:b w:val="0"/>
                <w:bCs w:val="0"/>
                <w:color w:val="auto"/>
                <w:sz w:val="22"/>
              </w:rPr>
              <w:t>Projekte Bahnhof Ost</w:t>
            </w:r>
          </w:p>
        </w:tc>
        <w:tc>
          <w:tcPr>
            <w:tcW w:w="1232" w:type="dxa"/>
          </w:tcPr>
          <w:p w:rsidR="00307F18" w:rsidRPr="008B0AF3" w:rsidRDefault="00F64612" w:rsidP="00F64612">
            <w:pPr>
              <w:cnfStyle w:val="000000000000"/>
              <w:rPr>
                <w:rFonts w:ascii="Arial" w:hAnsi="Arial" w:cs="Arial"/>
                <w:color w:val="auto"/>
                <w:sz w:val="22"/>
              </w:rPr>
            </w:pPr>
            <w:r w:rsidRPr="008B0AF3">
              <w:rPr>
                <w:rFonts w:ascii="Arial" w:hAnsi="Arial" w:cs="Arial"/>
                <w:color w:val="auto"/>
                <w:sz w:val="22"/>
              </w:rPr>
              <w:t>Gemeinde</w:t>
            </w:r>
          </w:p>
        </w:tc>
        <w:tc>
          <w:tcPr>
            <w:tcW w:w="1408" w:type="dxa"/>
            <w:gridSpan w:val="2"/>
          </w:tcPr>
          <w:p w:rsidR="00307F18" w:rsidRPr="008B0AF3" w:rsidRDefault="00FB4AA2" w:rsidP="00344C1A">
            <w:pPr>
              <w:jc w:val="right"/>
              <w:cnfStyle w:val="000000000000"/>
              <w:rPr>
                <w:rFonts w:ascii="Arial" w:hAnsi="Arial" w:cs="Arial"/>
                <w:color w:val="auto"/>
                <w:sz w:val="22"/>
              </w:rPr>
            </w:pPr>
            <w:r w:rsidRPr="008B0AF3">
              <w:rPr>
                <w:rFonts w:ascii="Arial" w:hAnsi="Arial" w:cs="Arial"/>
                <w:color w:val="auto"/>
                <w:sz w:val="22"/>
              </w:rPr>
              <w:t>1.6</w:t>
            </w:r>
          </w:p>
        </w:tc>
      </w:tr>
      <w:tr w:rsidR="00307F18" w:rsidRPr="008B0AF3" w:rsidTr="00FB4AA2">
        <w:trPr>
          <w:cnfStyle w:val="000000100000"/>
        </w:trPr>
        <w:tc>
          <w:tcPr>
            <w:cnfStyle w:val="001000000000"/>
            <w:tcW w:w="6541" w:type="dxa"/>
          </w:tcPr>
          <w:p w:rsidR="00307F18" w:rsidRPr="008B0AF3" w:rsidRDefault="00307F18" w:rsidP="00D91D1A">
            <w:pPr>
              <w:jc w:val="both"/>
              <w:rPr>
                <w:rFonts w:ascii="Arial" w:hAnsi="Arial" w:cs="Arial"/>
                <w:b w:val="0"/>
                <w:bCs w:val="0"/>
                <w:color w:val="auto"/>
                <w:sz w:val="22"/>
              </w:rPr>
            </w:pPr>
            <w:r w:rsidRPr="008B0AF3">
              <w:rPr>
                <w:rFonts w:ascii="Arial" w:hAnsi="Arial" w:cs="Arial"/>
                <w:b w:val="0"/>
                <w:bCs w:val="0"/>
                <w:color w:val="auto"/>
                <w:sz w:val="22"/>
              </w:rPr>
              <w:lastRenderedPageBreak/>
              <w:t>ERO: gesetzlicher Baubeitrag an Kanton</w:t>
            </w:r>
          </w:p>
        </w:tc>
        <w:tc>
          <w:tcPr>
            <w:tcW w:w="1232" w:type="dxa"/>
          </w:tcPr>
          <w:p w:rsidR="00307F18" w:rsidRPr="008B0AF3" w:rsidRDefault="00307F18" w:rsidP="00F64612">
            <w:pPr>
              <w:cnfStyle w:val="000000100000"/>
              <w:rPr>
                <w:rFonts w:ascii="Arial" w:hAnsi="Arial" w:cs="Arial"/>
                <w:color w:val="auto"/>
                <w:sz w:val="22"/>
              </w:rPr>
            </w:pPr>
            <w:r w:rsidRPr="008B0AF3">
              <w:rPr>
                <w:rFonts w:ascii="Arial" w:hAnsi="Arial" w:cs="Arial"/>
                <w:color w:val="auto"/>
                <w:sz w:val="22"/>
              </w:rPr>
              <w:t>Kanton</w:t>
            </w:r>
          </w:p>
        </w:tc>
        <w:tc>
          <w:tcPr>
            <w:tcW w:w="1408" w:type="dxa"/>
            <w:gridSpan w:val="2"/>
          </w:tcPr>
          <w:p w:rsidR="00307F18" w:rsidRPr="008B0AF3" w:rsidRDefault="00FB4AA2" w:rsidP="00D91D1A">
            <w:pPr>
              <w:jc w:val="right"/>
              <w:cnfStyle w:val="000000100000"/>
              <w:rPr>
                <w:rFonts w:ascii="Arial" w:hAnsi="Arial" w:cs="Arial"/>
                <w:color w:val="auto"/>
                <w:sz w:val="22"/>
              </w:rPr>
            </w:pPr>
            <w:r w:rsidRPr="008B0AF3">
              <w:rPr>
                <w:rFonts w:ascii="Arial" w:hAnsi="Arial" w:cs="Arial"/>
                <w:color w:val="auto"/>
                <w:sz w:val="22"/>
              </w:rPr>
              <w:t>4.5</w:t>
            </w:r>
          </w:p>
        </w:tc>
      </w:tr>
      <w:tr w:rsidR="00307F18" w:rsidRPr="008B0AF3" w:rsidTr="00FB4AA2">
        <w:tc>
          <w:tcPr>
            <w:cnfStyle w:val="001000000000"/>
            <w:tcW w:w="6541" w:type="dxa"/>
          </w:tcPr>
          <w:p w:rsidR="00307F18" w:rsidRPr="008B0AF3" w:rsidRDefault="00307F18" w:rsidP="00DE7099">
            <w:pPr>
              <w:jc w:val="both"/>
              <w:rPr>
                <w:rFonts w:ascii="Arial" w:hAnsi="Arial" w:cs="Arial"/>
                <w:b w:val="0"/>
                <w:bCs w:val="0"/>
                <w:color w:val="auto"/>
                <w:sz w:val="22"/>
              </w:rPr>
            </w:pPr>
            <w:r w:rsidRPr="008B0AF3">
              <w:rPr>
                <w:rFonts w:ascii="Arial" w:hAnsi="Arial" w:cs="Arial"/>
                <w:b w:val="0"/>
                <w:bCs w:val="0"/>
                <w:color w:val="auto"/>
                <w:sz w:val="22"/>
              </w:rPr>
              <w:t>Eissportanlage Investitionsbeiträge</w:t>
            </w:r>
          </w:p>
        </w:tc>
        <w:tc>
          <w:tcPr>
            <w:tcW w:w="1232" w:type="dxa"/>
          </w:tcPr>
          <w:p w:rsidR="00307F18" w:rsidRPr="008B0AF3" w:rsidRDefault="00F64612" w:rsidP="00F64612">
            <w:pPr>
              <w:cnfStyle w:val="000000000000"/>
              <w:rPr>
                <w:rFonts w:ascii="Arial" w:hAnsi="Arial" w:cs="Arial"/>
                <w:bCs/>
                <w:color w:val="auto"/>
                <w:sz w:val="22"/>
              </w:rPr>
            </w:pPr>
            <w:r w:rsidRPr="008B0AF3">
              <w:rPr>
                <w:rFonts w:ascii="Arial" w:hAnsi="Arial" w:cs="Arial"/>
                <w:color w:val="auto"/>
                <w:sz w:val="22"/>
              </w:rPr>
              <w:t>Gemeinde</w:t>
            </w:r>
          </w:p>
        </w:tc>
        <w:tc>
          <w:tcPr>
            <w:tcW w:w="1408" w:type="dxa"/>
            <w:gridSpan w:val="2"/>
          </w:tcPr>
          <w:p w:rsidR="00307F18" w:rsidRPr="008B0AF3" w:rsidRDefault="00FB4AA2" w:rsidP="005700AF">
            <w:pPr>
              <w:jc w:val="right"/>
              <w:cnfStyle w:val="000000000000"/>
              <w:rPr>
                <w:rFonts w:ascii="Arial" w:hAnsi="Arial" w:cs="Arial"/>
                <w:bCs/>
                <w:color w:val="auto"/>
                <w:sz w:val="22"/>
              </w:rPr>
            </w:pPr>
            <w:r w:rsidRPr="008B0AF3">
              <w:rPr>
                <w:rFonts w:ascii="Arial" w:hAnsi="Arial" w:cs="Arial"/>
                <w:bCs/>
                <w:color w:val="auto"/>
                <w:sz w:val="22"/>
              </w:rPr>
              <w:t>7.6</w:t>
            </w:r>
          </w:p>
        </w:tc>
      </w:tr>
    </w:tbl>
    <w:p w:rsidR="00DE7099" w:rsidRDefault="00DE7099">
      <w:pPr>
        <w:pStyle w:val="Textkrper3"/>
        <w:numPr>
          <w:ilvl w:val="12"/>
          <w:numId w:val="0"/>
        </w:numPr>
      </w:pPr>
    </w:p>
    <w:p w:rsidR="008734BC" w:rsidRPr="008734BC" w:rsidRDefault="00A82500">
      <w:pPr>
        <w:pStyle w:val="Textkrper3"/>
        <w:numPr>
          <w:ilvl w:val="12"/>
          <w:numId w:val="0"/>
        </w:numPr>
      </w:pPr>
      <w:r w:rsidRPr="008734BC">
        <w:t xml:space="preserve">Im Investitionsplan nicht enthalten sind grundsätzlich </w:t>
      </w:r>
      <w:r w:rsidR="008734BC" w:rsidRPr="008734BC">
        <w:t xml:space="preserve">Projekte, die zeitlich und/oder betraglich </w:t>
      </w:r>
      <w:r w:rsidR="0056589A">
        <w:t xml:space="preserve">noch </w:t>
      </w:r>
      <w:r w:rsidR="008734BC" w:rsidRPr="008734BC">
        <w:t xml:space="preserve">nicht abgeschätzt werden können. </w:t>
      </w:r>
    </w:p>
    <w:p w:rsidR="008734BC" w:rsidRPr="008734BC" w:rsidRDefault="008734BC">
      <w:pPr>
        <w:pStyle w:val="Textkrper3"/>
        <w:numPr>
          <w:ilvl w:val="12"/>
          <w:numId w:val="0"/>
        </w:numPr>
      </w:pPr>
    </w:p>
    <w:p w:rsidR="00A82500" w:rsidRDefault="003A6FFD">
      <w:pPr>
        <w:numPr>
          <w:ilvl w:val="12"/>
          <w:numId w:val="0"/>
        </w:numPr>
        <w:ind w:left="283" w:hanging="283"/>
        <w:jc w:val="both"/>
        <w:rPr>
          <w:rFonts w:ascii="Arial" w:hAnsi="Arial" w:cs="Arial"/>
          <w:b/>
          <w:sz w:val="22"/>
        </w:rPr>
      </w:pPr>
      <w:r>
        <w:rPr>
          <w:rFonts w:ascii="Arial" w:hAnsi="Arial" w:cs="Arial"/>
          <w:b/>
          <w:sz w:val="22"/>
        </w:rPr>
        <w:t>8</w:t>
      </w:r>
      <w:r w:rsidR="0007496B">
        <w:rPr>
          <w:rFonts w:ascii="Arial" w:hAnsi="Arial" w:cs="Arial"/>
          <w:b/>
          <w:sz w:val="22"/>
        </w:rPr>
        <w:t>.</w:t>
      </w:r>
      <w:r w:rsidR="00A9561F">
        <w:rPr>
          <w:rFonts w:ascii="Arial" w:hAnsi="Arial" w:cs="Arial"/>
          <w:b/>
          <w:sz w:val="22"/>
        </w:rPr>
        <w:t xml:space="preserve"> </w:t>
      </w:r>
      <w:r w:rsidR="00A82500">
        <w:rPr>
          <w:rFonts w:ascii="Arial" w:hAnsi="Arial" w:cs="Arial"/>
          <w:b/>
          <w:sz w:val="22"/>
        </w:rPr>
        <w:t xml:space="preserve"> Vorbehalt und Einschränkungen</w:t>
      </w:r>
      <w:r w:rsidR="00A9561F">
        <w:rPr>
          <w:rFonts w:ascii="Arial" w:hAnsi="Arial" w:cs="Arial"/>
          <w:b/>
          <w:sz w:val="22"/>
        </w:rPr>
        <w:t xml:space="preserve"> / Entlastungspaket</w:t>
      </w:r>
    </w:p>
    <w:p w:rsidR="00A82500" w:rsidRDefault="00A82500">
      <w:pPr>
        <w:pStyle w:val="Textkrper3"/>
        <w:numPr>
          <w:ilvl w:val="12"/>
          <w:numId w:val="0"/>
        </w:numPr>
        <w:rPr>
          <w:bCs/>
          <w:highlight w:val="yellow"/>
        </w:rPr>
      </w:pPr>
    </w:p>
    <w:p w:rsidR="003A6FFD" w:rsidRDefault="002F28F5">
      <w:pPr>
        <w:pStyle w:val="Textkrper3"/>
        <w:numPr>
          <w:ilvl w:val="12"/>
          <w:numId w:val="0"/>
        </w:numPr>
        <w:rPr>
          <w:bCs/>
        </w:rPr>
      </w:pPr>
      <w:r>
        <w:rPr>
          <w:bCs/>
        </w:rPr>
        <w:t>Ein Gemeindeh</w:t>
      </w:r>
      <w:r w:rsidR="00A82500">
        <w:rPr>
          <w:bCs/>
        </w:rPr>
        <w:t>aushalt</w:t>
      </w:r>
      <w:r>
        <w:rPr>
          <w:bCs/>
        </w:rPr>
        <w:t>, auch der Haushalt der Stadt Olten,</w:t>
      </w:r>
      <w:r w:rsidR="00A82500">
        <w:rPr>
          <w:bCs/>
        </w:rPr>
        <w:t xml:space="preserve"> wird mit einem allgemein geschät</w:t>
      </w:r>
      <w:r w:rsidR="00A82500">
        <w:rPr>
          <w:bCs/>
        </w:rPr>
        <w:t>z</w:t>
      </w:r>
      <w:r w:rsidR="00A82500">
        <w:rPr>
          <w:bCs/>
        </w:rPr>
        <w:t>ten Anteil von 80 bis 85 % zu stark fremdbestimmt. Der Freiraum für den Eigenbedarf wird d</w:t>
      </w:r>
      <w:r w:rsidR="00A82500">
        <w:rPr>
          <w:bCs/>
        </w:rPr>
        <w:t>a</w:t>
      </w:r>
      <w:r w:rsidR="00A82500">
        <w:rPr>
          <w:bCs/>
        </w:rPr>
        <w:t>durch entsprechend eingeschränkt. Die sog</w:t>
      </w:r>
      <w:r w:rsidR="00FB4AA2">
        <w:rPr>
          <w:bCs/>
        </w:rPr>
        <w:t>enannt</w:t>
      </w:r>
      <w:r w:rsidR="00A82500">
        <w:rPr>
          <w:bCs/>
        </w:rPr>
        <w:t xml:space="preserve"> gebundenen Ausgaben sind in einem G</w:t>
      </w:r>
      <w:r w:rsidR="00A82500">
        <w:rPr>
          <w:bCs/>
        </w:rPr>
        <w:t>e</w:t>
      </w:r>
      <w:r w:rsidR="00A82500">
        <w:rPr>
          <w:bCs/>
        </w:rPr>
        <w:t>setz, in einer Verordnung, in einem Reglement verankert oder sind die Folge von Beschlüssen höherer Instanzen. Davon betroffen sind vor allem die grösseren Anteile für die Aufgabenbere</w:t>
      </w:r>
      <w:r w:rsidR="00A82500">
        <w:rPr>
          <w:bCs/>
        </w:rPr>
        <w:t>i</w:t>
      </w:r>
      <w:r w:rsidR="00A82500">
        <w:rPr>
          <w:bCs/>
        </w:rPr>
        <w:t>che „Bil</w:t>
      </w:r>
      <w:r w:rsidR="00FB4AA2">
        <w:rPr>
          <w:bCs/>
        </w:rPr>
        <w:t xml:space="preserve">dung“ </w:t>
      </w:r>
      <w:r w:rsidR="00A82500">
        <w:rPr>
          <w:bCs/>
        </w:rPr>
        <w:t xml:space="preserve">und „Soziales“. </w:t>
      </w:r>
    </w:p>
    <w:p w:rsidR="00A9561F" w:rsidRDefault="00A9561F">
      <w:pPr>
        <w:pStyle w:val="Textkrper3"/>
        <w:numPr>
          <w:ilvl w:val="12"/>
          <w:numId w:val="0"/>
        </w:numPr>
        <w:rPr>
          <w:bCs/>
        </w:rPr>
      </w:pPr>
    </w:p>
    <w:p w:rsidR="0052690A" w:rsidRDefault="00A9561F">
      <w:pPr>
        <w:pStyle w:val="Textkrper3"/>
        <w:numPr>
          <w:ilvl w:val="12"/>
          <w:numId w:val="0"/>
        </w:numPr>
        <w:rPr>
          <w:bCs/>
        </w:rPr>
      </w:pPr>
      <w:r w:rsidRPr="00C27523">
        <w:rPr>
          <w:b/>
          <w:bCs/>
        </w:rPr>
        <w:t>8.1 Entlastungspaket 2014ff</w:t>
      </w:r>
      <w:r w:rsidRPr="00C27523">
        <w:rPr>
          <w:b/>
          <w:bCs/>
        </w:rPr>
        <w:br/>
      </w:r>
      <w:r w:rsidRPr="00C27523">
        <w:rPr>
          <w:b/>
          <w:bCs/>
        </w:rPr>
        <w:br/>
      </w:r>
      <w:r w:rsidR="0052690A">
        <w:rPr>
          <w:bCs/>
        </w:rPr>
        <w:t>Mit Beschluss vom 9. September 2013 hat der Stadtrat ein</w:t>
      </w:r>
      <w:r w:rsidR="00694C4F">
        <w:rPr>
          <w:bCs/>
        </w:rPr>
        <w:t>em</w:t>
      </w:r>
      <w:r w:rsidR="0052690A">
        <w:rPr>
          <w:bCs/>
        </w:rPr>
        <w:t xml:space="preserve"> erstes Entlastungspaket zug</w:t>
      </w:r>
      <w:r w:rsidR="0052690A">
        <w:rPr>
          <w:bCs/>
        </w:rPr>
        <w:t>e</w:t>
      </w:r>
      <w:r w:rsidR="0052690A">
        <w:rPr>
          <w:bCs/>
        </w:rPr>
        <w:t xml:space="preserve">stimmt. </w:t>
      </w:r>
    </w:p>
    <w:p w:rsidR="0052690A" w:rsidRDefault="0052690A">
      <w:pPr>
        <w:pStyle w:val="Textkrper3"/>
        <w:numPr>
          <w:ilvl w:val="12"/>
          <w:numId w:val="0"/>
        </w:numPr>
        <w:rPr>
          <w:bCs/>
        </w:rPr>
      </w:pPr>
    </w:p>
    <w:p w:rsidR="00F548F4" w:rsidRDefault="0052690A">
      <w:pPr>
        <w:pStyle w:val="Textkrper3"/>
        <w:numPr>
          <w:ilvl w:val="12"/>
          <w:numId w:val="0"/>
        </w:numPr>
        <w:rPr>
          <w:bCs/>
        </w:rPr>
      </w:pPr>
      <w:r>
        <w:rPr>
          <w:bCs/>
        </w:rPr>
        <w:t xml:space="preserve">Bezüglich der </w:t>
      </w:r>
      <w:r w:rsidR="00DD73CA">
        <w:rPr>
          <w:bCs/>
        </w:rPr>
        <w:t>angewandten</w:t>
      </w:r>
      <w:r>
        <w:rPr>
          <w:bCs/>
        </w:rPr>
        <w:t xml:space="preserve"> Strategie hat sich der Stadtrat entschieden</w:t>
      </w:r>
      <w:r w:rsidR="005552EF">
        <w:rPr>
          <w:bCs/>
        </w:rPr>
        <w:t>,</w:t>
      </w:r>
      <w:r>
        <w:rPr>
          <w:bCs/>
        </w:rPr>
        <w:t xml:space="preserve"> keine Kürzungen nach der „Rasenmähermethode“ vorzunehmen</w:t>
      </w:r>
      <w:r w:rsidR="005552EF">
        <w:rPr>
          <w:bCs/>
        </w:rPr>
        <w:t>,</w:t>
      </w:r>
      <w:r>
        <w:rPr>
          <w:bCs/>
        </w:rPr>
        <w:t xml:space="preserve"> sondern alle Bereiche zu durchleuchten. </w:t>
      </w:r>
      <w:r w:rsidR="002B48CA">
        <w:rPr>
          <w:bCs/>
        </w:rPr>
        <w:t xml:space="preserve">Vor dem Entlastungspaket wurde kurz nach Budgetverabschiedung 2013 eine erste Sparrunde in der laufenden Rechnung sowie der Erfolgsrechnung vorgenommen. Im Verlauf des Sommers 2013 wurde nun das Entlastungspaket 2014ff gestartet. Eine erste </w:t>
      </w:r>
      <w:r w:rsidR="00DD73CA">
        <w:rPr>
          <w:bCs/>
        </w:rPr>
        <w:t>Tranche</w:t>
      </w:r>
      <w:r w:rsidR="002B48CA">
        <w:rPr>
          <w:bCs/>
        </w:rPr>
        <w:t xml:space="preserve"> konnte im Budget 2014 bereits berücksichtigt werden.</w:t>
      </w:r>
    </w:p>
    <w:p w:rsidR="00096769" w:rsidRDefault="00096769">
      <w:pPr>
        <w:pStyle w:val="Textkrper3"/>
        <w:numPr>
          <w:ilvl w:val="12"/>
          <w:numId w:val="0"/>
        </w:numPr>
        <w:rPr>
          <w:bCs/>
        </w:rPr>
      </w:pPr>
    </w:p>
    <w:p w:rsidR="00096769" w:rsidRDefault="00096769">
      <w:pPr>
        <w:pStyle w:val="Textkrper3"/>
        <w:numPr>
          <w:ilvl w:val="12"/>
          <w:numId w:val="0"/>
        </w:numPr>
        <w:rPr>
          <w:bCs/>
        </w:rPr>
      </w:pPr>
      <w:r>
        <w:rPr>
          <w:bCs/>
        </w:rPr>
        <w:t>Das Entlastungspaket sieht folgende</w:t>
      </w:r>
      <w:r w:rsidR="005552EF">
        <w:rPr>
          <w:bCs/>
        </w:rPr>
        <w:t>s</w:t>
      </w:r>
      <w:r>
        <w:rPr>
          <w:bCs/>
        </w:rPr>
        <w:t xml:space="preserve"> </w:t>
      </w:r>
      <w:r w:rsidR="005552EF">
        <w:rPr>
          <w:bCs/>
        </w:rPr>
        <w:t xml:space="preserve">Entlastungspotenzial </w:t>
      </w:r>
      <w:r>
        <w:rPr>
          <w:bCs/>
        </w:rPr>
        <w:t>vor:</w:t>
      </w:r>
    </w:p>
    <w:p w:rsidR="00096769" w:rsidRDefault="00096769">
      <w:pPr>
        <w:pStyle w:val="Textkrper3"/>
        <w:numPr>
          <w:ilvl w:val="12"/>
          <w:numId w:val="0"/>
        </w:numPr>
        <w:rPr>
          <w:bCs/>
        </w:rPr>
      </w:pPr>
    </w:p>
    <w:tbl>
      <w:tblPr>
        <w:tblStyle w:val="HelleSchattierung1"/>
        <w:tblW w:w="6487" w:type="dxa"/>
        <w:tblLook w:val="04A0"/>
      </w:tblPr>
      <w:tblGrid>
        <w:gridCol w:w="2160"/>
        <w:gridCol w:w="1492"/>
        <w:gridCol w:w="968"/>
        <w:gridCol w:w="869"/>
        <w:gridCol w:w="998"/>
      </w:tblGrid>
      <w:tr w:rsidR="00A809EC" w:rsidRPr="00A809EC" w:rsidTr="00F21458">
        <w:trPr>
          <w:cnfStyle w:val="100000000000"/>
          <w:trHeight w:val="283"/>
        </w:trPr>
        <w:tc>
          <w:tcPr>
            <w:cnfStyle w:val="001000000000"/>
            <w:tcW w:w="2160" w:type="dxa"/>
            <w:noWrap/>
            <w:hideMark/>
          </w:tcPr>
          <w:p w:rsidR="00A809EC" w:rsidRPr="00A809EC" w:rsidRDefault="00A809EC" w:rsidP="00A809EC">
            <w:pPr>
              <w:overflowPunct/>
              <w:autoSpaceDE/>
              <w:autoSpaceDN/>
              <w:adjustRightInd/>
              <w:textAlignment w:val="auto"/>
              <w:rPr>
                <w:rFonts w:ascii="Arial" w:hAnsi="Arial" w:cs="Arial"/>
                <w:sz w:val="22"/>
                <w:szCs w:val="22"/>
                <w:lang w:val="de-CH" w:eastAsia="de-CH"/>
              </w:rPr>
            </w:pPr>
          </w:p>
        </w:tc>
        <w:tc>
          <w:tcPr>
            <w:tcW w:w="1492" w:type="dxa"/>
            <w:noWrap/>
            <w:hideMark/>
          </w:tcPr>
          <w:p w:rsidR="00A809EC" w:rsidRPr="00A809EC" w:rsidRDefault="00A809EC" w:rsidP="00A809EC">
            <w:pPr>
              <w:overflowPunct/>
              <w:autoSpaceDE/>
              <w:autoSpaceDN/>
              <w:adjustRightInd/>
              <w:jc w:val="right"/>
              <w:textAlignment w:val="auto"/>
              <w:cnfStyle w:val="100000000000"/>
              <w:rPr>
                <w:rFonts w:ascii="Arial" w:hAnsi="Arial" w:cs="Arial"/>
                <w:sz w:val="22"/>
                <w:szCs w:val="22"/>
                <w:lang w:val="de-CH" w:eastAsia="de-CH"/>
              </w:rPr>
            </w:pPr>
            <w:r w:rsidRPr="00A809EC">
              <w:rPr>
                <w:rFonts w:ascii="Arial" w:hAnsi="Arial" w:cs="Arial"/>
                <w:sz w:val="22"/>
                <w:szCs w:val="22"/>
                <w:lang w:val="de-CH" w:eastAsia="de-CH"/>
              </w:rPr>
              <w:t>B14</w:t>
            </w:r>
          </w:p>
        </w:tc>
        <w:tc>
          <w:tcPr>
            <w:tcW w:w="968" w:type="dxa"/>
            <w:noWrap/>
            <w:hideMark/>
          </w:tcPr>
          <w:p w:rsidR="00A809EC" w:rsidRPr="00A809EC" w:rsidRDefault="00A809EC" w:rsidP="00A809EC">
            <w:pPr>
              <w:overflowPunct/>
              <w:autoSpaceDE/>
              <w:autoSpaceDN/>
              <w:adjustRightInd/>
              <w:jc w:val="right"/>
              <w:textAlignment w:val="auto"/>
              <w:cnfStyle w:val="100000000000"/>
              <w:rPr>
                <w:rFonts w:ascii="Arial" w:hAnsi="Arial" w:cs="Arial"/>
                <w:sz w:val="22"/>
                <w:szCs w:val="22"/>
                <w:lang w:val="de-CH" w:eastAsia="de-CH"/>
              </w:rPr>
            </w:pPr>
            <w:r w:rsidRPr="00A809EC">
              <w:rPr>
                <w:rFonts w:ascii="Arial" w:hAnsi="Arial" w:cs="Arial"/>
                <w:sz w:val="22"/>
                <w:szCs w:val="22"/>
                <w:lang w:val="de-CH" w:eastAsia="de-CH"/>
              </w:rPr>
              <w:t>F15</w:t>
            </w:r>
          </w:p>
        </w:tc>
        <w:tc>
          <w:tcPr>
            <w:tcW w:w="869" w:type="dxa"/>
            <w:noWrap/>
            <w:hideMark/>
          </w:tcPr>
          <w:p w:rsidR="00A809EC" w:rsidRPr="00A809EC" w:rsidRDefault="00A809EC" w:rsidP="00A809EC">
            <w:pPr>
              <w:overflowPunct/>
              <w:autoSpaceDE/>
              <w:autoSpaceDN/>
              <w:adjustRightInd/>
              <w:jc w:val="right"/>
              <w:textAlignment w:val="auto"/>
              <w:cnfStyle w:val="100000000000"/>
              <w:rPr>
                <w:rFonts w:ascii="Arial" w:hAnsi="Arial" w:cs="Arial"/>
                <w:sz w:val="22"/>
                <w:szCs w:val="22"/>
                <w:lang w:val="de-CH" w:eastAsia="de-CH"/>
              </w:rPr>
            </w:pPr>
            <w:r w:rsidRPr="00A809EC">
              <w:rPr>
                <w:rFonts w:ascii="Arial" w:hAnsi="Arial" w:cs="Arial"/>
                <w:sz w:val="22"/>
                <w:szCs w:val="22"/>
                <w:lang w:val="de-CH" w:eastAsia="de-CH"/>
              </w:rPr>
              <w:t>F16</w:t>
            </w:r>
          </w:p>
        </w:tc>
        <w:tc>
          <w:tcPr>
            <w:tcW w:w="998" w:type="dxa"/>
            <w:noWrap/>
            <w:hideMark/>
          </w:tcPr>
          <w:p w:rsidR="00A809EC" w:rsidRPr="00A809EC" w:rsidRDefault="00A809EC" w:rsidP="00A809EC">
            <w:pPr>
              <w:overflowPunct/>
              <w:autoSpaceDE/>
              <w:autoSpaceDN/>
              <w:adjustRightInd/>
              <w:jc w:val="right"/>
              <w:textAlignment w:val="auto"/>
              <w:cnfStyle w:val="100000000000"/>
              <w:rPr>
                <w:rFonts w:ascii="Arial" w:hAnsi="Arial" w:cs="Arial"/>
                <w:sz w:val="22"/>
                <w:szCs w:val="22"/>
                <w:lang w:val="de-CH" w:eastAsia="de-CH"/>
              </w:rPr>
            </w:pPr>
            <w:r w:rsidRPr="00A809EC">
              <w:rPr>
                <w:rFonts w:ascii="Arial" w:hAnsi="Arial" w:cs="Arial"/>
                <w:sz w:val="22"/>
                <w:szCs w:val="22"/>
                <w:lang w:val="de-CH" w:eastAsia="de-CH"/>
              </w:rPr>
              <w:t>F17</w:t>
            </w:r>
          </w:p>
        </w:tc>
      </w:tr>
      <w:tr w:rsidR="00A809EC" w:rsidRPr="00A809EC" w:rsidTr="00F21458">
        <w:trPr>
          <w:cnfStyle w:val="000000100000"/>
          <w:trHeight w:val="283"/>
        </w:trPr>
        <w:tc>
          <w:tcPr>
            <w:cnfStyle w:val="001000000000"/>
            <w:tcW w:w="2160" w:type="dxa"/>
            <w:noWrap/>
            <w:hideMark/>
          </w:tcPr>
          <w:p w:rsidR="00A809EC" w:rsidRPr="00A809EC" w:rsidRDefault="00A809EC" w:rsidP="00A809EC">
            <w:pPr>
              <w:overflowPunct/>
              <w:autoSpaceDE/>
              <w:autoSpaceDN/>
              <w:adjustRightInd/>
              <w:textAlignment w:val="auto"/>
              <w:rPr>
                <w:rFonts w:ascii="Arial" w:hAnsi="Arial" w:cs="Arial"/>
                <w:b w:val="0"/>
                <w:sz w:val="22"/>
                <w:szCs w:val="22"/>
                <w:lang w:val="de-CH" w:eastAsia="de-CH"/>
              </w:rPr>
            </w:pPr>
            <w:r w:rsidRPr="00A809EC">
              <w:rPr>
                <w:rFonts w:ascii="Arial" w:hAnsi="Arial" w:cs="Arial"/>
                <w:b w:val="0"/>
                <w:sz w:val="22"/>
                <w:szCs w:val="22"/>
                <w:lang w:val="de-CH" w:eastAsia="de-CH"/>
              </w:rPr>
              <w:t>Beschlossen</w:t>
            </w:r>
          </w:p>
        </w:tc>
        <w:tc>
          <w:tcPr>
            <w:tcW w:w="1492" w:type="dxa"/>
            <w:noWrap/>
            <w:hideMark/>
          </w:tcPr>
          <w:p w:rsidR="00A809EC" w:rsidRPr="00A809EC" w:rsidRDefault="00A809EC" w:rsidP="00A809EC">
            <w:pPr>
              <w:overflowPunct/>
              <w:autoSpaceDE/>
              <w:autoSpaceDN/>
              <w:adjustRightInd/>
              <w:jc w:val="right"/>
              <w:textAlignment w:val="auto"/>
              <w:cnfStyle w:val="000000100000"/>
              <w:rPr>
                <w:rFonts w:ascii="Arial" w:hAnsi="Arial" w:cs="Arial"/>
                <w:sz w:val="22"/>
                <w:szCs w:val="22"/>
                <w:lang w:val="de-CH" w:eastAsia="de-CH"/>
              </w:rPr>
            </w:pPr>
            <w:r w:rsidRPr="00A809EC">
              <w:rPr>
                <w:rFonts w:ascii="Arial" w:hAnsi="Arial" w:cs="Arial"/>
                <w:sz w:val="22"/>
                <w:szCs w:val="22"/>
                <w:lang w:val="de-CH" w:eastAsia="de-CH"/>
              </w:rPr>
              <w:t>1.8</w:t>
            </w:r>
          </w:p>
        </w:tc>
        <w:tc>
          <w:tcPr>
            <w:tcW w:w="968" w:type="dxa"/>
            <w:noWrap/>
            <w:hideMark/>
          </w:tcPr>
          <w:p w:rsidR="00A809EC" w:rsidRPr="00A809EC" w:rsidRDefault="00A809EC" w:rsidP="00A809EC">
            <w:pPr>
              <w:overflowPunct/>
              <w:autoSpaceDE/>
              <w:autoSpaceDN/>
              <w:adjustRightInd/>
              <w:jc w:val="right"/>
              <w:textAlignment w:val="auto"/>
              <w:cnfStyle w:val="000000100000"/>
              <w:rPr>
                <w:rFonts w:ascii="Arial" w:hAnsi="Arial" w:cs="Arial"/>
                <w:sz w:val="22"/>
                <w:szCs w:val="22"/>
                <w:lang w:val="de-CH" w:eastAsia="de-CH"/>
              </w:rPr>
            </w:pPr>
            <w:r w:rsidRPr="00A809EC">
              <w:rPr>
                <w:rFonts w:ascii="Arial" w:hAnsi="Arial" w:cs="Arial"/>
                <w:sz w:val="22"/>
                <w:szCs w:val="22"/>
                <w:lang w:val="de-CH" w:eastAsia="de-CH"/>
              </w:rPr>
              <w:t>2.6</w:t>
            </w:r>
          </w:p>
        </w:tc>
        <w:tc>
          <w:tcPr>
            <w:tcW w:w="869" w:type="dxa"/>
            <w:noWrap/>
            <w:hideMark/>
          </w:tcPr>
          <w:p w:rsidR="00A809EC" w:rsidRPr="00A809EC" w:rsidRDefault="00A809EC" w:rsidP="00A809EC">
            <w:pPr>
              <w:overflowPunct/>
              <w:autoSpaceDE/>
              <w:autoSpaceDN/>
              <w:adjustRightInd/>
              <w:jc w:val="right"/>
              <w:textAlignment w:val="auto"/>
              <w:cnfStyle w:val="000000100000"/>
              <w:rPr>
                <w:rFonts w:ascii="Arial" w:hAnsi="Arial" w:cs="Arial"/>
                <w:sz w:val="22"/>
                <w:szCs w:val="22"/>
                <w:lang w:val="de-CH" w:eastAsia="de-CH"/>
              </w:rPr>
            </w:pPr>
            <w:r w:rsidRPr="00A809EC">
              <w:rPr>
                <w:rFonts w:ascii="Arial" w:hAnsi="Arial" w:cs="Arial"/>
                <w:sz w:val="22"/>
                <w:szCs w:val="22"/>
                <w:lang w:val="de-CH" w:eastAsia="de-CH"/>
              </w:rPr>
              <w:t>3.0</w:t>
            </w:r>
          </w:p>
        </w:tc>
        <w:tc>
          <w:tcPr>
            <w:tcW w:w="998" w:type="dxa"/>
            <w:noWrap/>
            <w:hideMark/>
          </w:tcPr>
          <w:p w:rsidR="00A809EC" w:rsidRPr="00A809EC" w:rsidRDefault="00A809EC" w:rsidP="00A809EC">
            <w:pPr>
              <w:overflowPunct/>
              <w:autoSpaceDE/>
              <w:autoSpaceDN/>
              <w:adjustRightInd/>
              <w:jc w:val="right"/>
              <w:textAlignment w:val="auto"/>
              <w:cnfStyle w:val="000000100000"/>
              <w:rPr>
                <w:rFonts w:ascii="Arial" w:hAnsi="Arial" w:cs="Arial"/>
                <w:sz w:val="22"/>
                <w:szCs w:val="22"/>
                <w:lang w:val="de-CH" w:eastAsia="de-CH"/>
              </w:rPr>
            </w:pPr>
            <w:r w:rsidRPr="00A809EC">
              <w:rPr>
                <w:rFonts w:ascii="Arial" w:hAnsi="Arial" w:cs="Arial"/>
                <w:sz w:val="22"/>
                <w:szCs w:val="22"/>
                <w:lang w:val="de-CH" w:eastAsia="de-CH"/>
              </w:rPr>
              <w:t>3.0</w:t>
            </w:r>
          </w:p>
        </w:tc>
      </w:tr>
      <w:tr w:rsidR="00A809EC" w:rsidRPr="00A809EC" w:rsidTr="00F21458">
        <w:trPr>
          <w:trHeight w:val="283"/>
        </w:trPr>
        <w:tc>
          <w:tcPr>
            <w:cnfStyle w:val="001000000000"/>
            <w:tcW w:w="2160" w:type="dxa"/>
            <w:noWrap/>
            <w:hideMark/>
          </w:tcPr>
          <w:p w:rsidR="00A809EC" w:rsidRPr="00A809EC" w:rsidRDefault="00A809EC" w:rsidP="00A809EC">
            <w:pPr>
              <w:overflowPunct/>
              <w:autoSpaceDE/>
              <w:autoSpaceDN/>
              <w:adjustRightInd/>
              <w:textAlignment w:val="auto"/>
              <w:rPr>
                <w:rFonts w:ascii="Arial" w:hAnsi="Arial" w:cs="Arial"/>
                <w:b w:val="0"/>
                <w:sz w:val="22"/>
                <w:szCs w:val="22"/>
                <w:lang w:val="de-CH" w:eastAsia="de-CH"/>
              </w:rPr>
            </w:pPr>
            <w:r w:rsidRPr="00A809EC">
              <w:rPr>
                <w:rFonts w:ascii="Arial" w:hAnsi="Arial" w:cs="Arial"/>
                <w:b w:val="0"/>
                <w:sz w:val="22"/>
                <w:szCs w:val="22"/>
                <w:lang w:val="de-CH" w:eastAsia="de-CH"/>
              </w:rPr>
              <w:t>Prüfaufträge</w:t>
            </w:r>
            <w:r>
              <w:rPr>
                <w:rFonts w:ascii="Arial" w:hAnsi="Arial" w:cs="Arial"/>
                <w:b w:val="0"/>
                <w:sz w:val="22"/>
                <w:szCs w:val="22"/>
                <w:lang w:val="de-CH" w:eastAsia="de-CH"/>
              </w:rPr>
              <w:t xml:space="preserve"> </w:t>
            </w:r>
            <w:r w:rsidR="00DD73CA">
              <w:rPr>
                <w:rFonts w:ascii="Arial" w:hAnsi="Arial" w:cs="Arial"/>
                <w:b w:val="0"/>
                <w:sz w:val="22"/>
                <w:szCs w:val="22"/>
                <w:lang w:val="de-CH" w:eastAsia="de-CH"/>
              </w:rPr>
              <w:t>i.A.</w:t>
            </w:r>
          </w:p>
        </w:tc>
        <w:tc>
          <w:tcPr>
            <w:tcW w:w="1492" w:type="dxa"/>
            <w:noWrap/>
            <w:hideMark/>
          </w:tcPr>
          <w:p w:rsidR="00A809EC" w:rsidRPr="00A809EC" w:rsidRDefault="00B92E8C" w:rsidP="00A809EC">
            <w:pPr>
              <w:overflowPunct/>
              <w:autoSpaceDE/>
              <w:autoSpaceDN/>
              <w:adjustRightInd/>
              <w:jc w:val="right"/>
              <w:textAlignment w:val="auto"/>
              <w:cnfStyle w:val="000000000000"/>
              <w:rPr>
                <w:rFonts w:ascii="Arial" w:hAnsi="Arial" w:cs="Arial"/>
                <w:sz w:val="22"/>
                <w:szCs w:val="22"/>
                <w:lang w:val="de-CH" w:eastAsia="de-CH"/>
              </w:rPr>
            </w:pPr>
            <w:r>
              <w:rPr>
                <w:rFonts w:ascii="Arial" w:hAnsi="Arial" w:cs="Arial"/>
                <w:sz w:val="22"/>
                <w:szCs w:val="22"/>
                <w:lang w:val="de-CH" w:eastAsia="de-CH"/>
              </w:rPr>
              <w:t xml:space="preserve"> </w:t>
            </w:r>
          </w:p>
        </w:tc>
        <w:tc>
          <w:tcPr>
            <w:tcW w:w="968" w:type="dxa"/>
            <w:noWrap/>
            <w:hideMark/>
          </w:tcPr>
          <w:p w:rsidR="00A809EC" w:rsidRPr="00A809EC" w:rsidRDefault="00A809EC" w:rsidP="00A809EC">
            <w:pPr>
              <w:overflowPunct/>
              <w:autoSpaceDE/>
              <w:autoSpaceDN/>
              <w:adjustRightInd/>
              <w:jc w:val="right"/>
              <w:textAlignment w:val="auto"/>
              <w:cnfStyle w:val="000000000000"/>
              <w:rPr>
                <w:rFonts w:ascii="Arial" w:hAnsi="Arial" w:cs="Arial"/>
                <w:sz w:val="22"/>
                <w:szCs w:val="22"/>
                <w:lang w:val="de-CH" w:eastAsia="de-CH"/>
              </w:rPr>
            </w:pPr>
            <w:r w:rsidRPr="00A809EC">
              <w:rPr>
                <w:rFonts w:ascii="Arial" w:hAnsi="Arial" w:cs="Arial"/>
                <w:sz w:val="22"/>
                <w:szCs w:val="22"/>
                <w:lang w:val="de-CH" w:eastAsia="de-CH"/>
              </w:rPr>
              <w:t>3.9</w:t>
            </w:r>
          </w:p>
        </w:tc>
        <w:tc>
          <w:tcPr>
            <w:tcW w:w="869" w:type="dxa"/>
            <w:noWrap/>
            <w:hideMark/>
          </w:tcPr>
          <w:p w:rsidR="00A809EC" w:rsidRPr="00A809EC" w:rsidRDefault="00A809EC" w:rsidP="00A809EC">
            <w:pPr>
              <w:overflowPunct/>
              <w:autoSpaceDE/>
              <w:autoSpaceDN/>
              <w:adjustRightInd/>
              <w:jc w:val="right"/>
              <w:textAlignment w:val="auto"/>
              <w:cnfStyle w:val="000000000000"/>
              <w:rPr>
                <w:rFonts w:ascii="Arial" w:hAnsi="Arial" w:cs="Arial"/>
                <w:sz w:val="22"/>
                <w:szCs w:val="22"/>
                <w:lang w:val="de-CH" w:eastAsia="de-CH"/>
              </w:rPr>
            </w:pPr>
            <w:r w:rsidRPr="00A809EC">
              <w:rPr>
                <w:rFonts w:ascii="Arial" w:hAnsi="Arial" w:cs="Arial"/>
                <w:sz w:val="22"/>
                <w:szCs w:val="22"/>
                <w:lang w:val="de-CH" w:eastAsia="de-CH"/>
              </w:rPr>
              <w:t>3.9</w:t>
            </w:r>
          </w:p>
        </w:tc>
        <w:tc>
          <w:tcPr>
            <w:tcW w:w="998" w:type="dxa"/>
            <w:noWrap/>
            <w:hideMark/>
          </w:tcPr>
          <w:p w:rsidR="00A809EC" w:rsidRPr="00A809EC" w:rsidRDefault="00A809EC" w:rsidP="00A809EC">
            <w:pPr>
              <w:overflowPunct/>
              <w:autoSpaceDE/>
              <w:autoSpaceDN/>
              <w:adjustRightInd/>
              <w:jc w:val="right"/>
              <w:textAlignment w:val="auto"/>
              <w:cnfStyle w:val="000000000000"/>
              <w:rPr>
                <w:rFonts w:ascii="Arial" w:hAnsi="Arial" w:cs="Arial"/>
                <w:sz w:val="22"/>
                <w:szCs w:val="22"/>
                <w:lang w:val="de-CH" w:eastAsia="de-CH"/>
              </w:rPr>
            </w:pPr>
            <w:r w:rsidRPr="00A809EC">
              <w:rPr>
                <w:rFonts w:ascii="Arial" w:hAnsi="Arial" w:cs="Arial"/>
                <w:sz w:val="22"/>
                <w:szCs w:val="22"/>
                <w:lang w:val="de-CH" w:eastAsia="de-CH"/>
              </w:rPr>
              <w:t>3.9</w:t>
            </w:r>
          </w:p>
        </w:tc>
      </w:tr>
    </w:tbl>
    <w:p w:rsidR="00096769" w:rsidRDefault="00096769">
      <w:pPr>
        <w:pStyle w:val="Textkrper3"/>
        <w:numPr>
          <w:ilvl w:val="12"/>
          <w:numId w:val="0"/>
        </w:numPr>
        <w:rPr>
          <w:bCs/>
        </w:rPr>
      </w:pPr>
    </w:p>
    <w:p w:rsidR="00096769" w:rsidRDefault="00A809EC">
      <w:pPr>
        <w:pStyle w:val="Textkrper3"/>
        <w:numPr>
          <w:ilvl w:val="12"/>
          <w:numId w:val="0"/>
        </w:numPr>
        <w:rPr>
          <w:bCs/>
        </w:rPr>
      </w:pPr>
      <w:r>
        <w:rPr>
          <w:bCs/>
        </w:rPr>
        <w:t xml:space="preserve">Für das Budgetjahr 2014 setzt sich die Entlastung gegenüber dem </w:t>
      </w:r>
      <w:r w:rsidR="00694C4F">
        <w:rPr>
          <w:bCs/>
        </w:rPr>
        <w:t xml:space="preserve">ursprünglichen </w:t>
      </w:r>
      <w:r>
        <w:rPr>
          <w:bCs/>
        </w:rPr>
        <w:t>Budget</w:t>
      </w:r>
      <w:r w:rsidR="00694C4F">
        <w:rPr>
          <w:bCs/>
        </w:rPr>
        <w:t xml:space="preserve"> 2013</w:t>
      </w:r>
      <w:r>
        <w:rPr>
          <w:bCs/>
        </w:rPr>
        <w:t xml:space="preserve"> wie folgt zusammen:</w:t>
      </w:r>
    </w:p>
    <w:p w:rsidR="00C577F9" w:rsidRDefault="00C577F9">
      <w:pPr>
        <w:pStyle w:val="Textkrper3"/>
        <w:numPr>
          <w:ilvl w:val="12"/>
          <w:numId w:val="0"/>
        </w:numPr>
        <w:rPr>
          <w:bCs/>
        </w:rPr>
      </w:pPr>
    </w:p>
    <w:p w:rsidR="00C577F9" w:rsidRDefault="00C577F9" w:rsidP="00C577F9">
      <w:pPr>
        <w:pStyle w:val="Textkrper3"/>
        <w:numPr>
          <w:ilvl w:val="12"/>
          <w:numId w:val="0"/>
        </w:numPr>
        <w:tabs>
          <w:tab w:val="right" w:pos="7938"/>
          <w:tab w:val="left" w:pos="8080"/>
        </w:tabs>
        <w:rPr>
          <w:bCs/>
        </w:rPr>
      </w:pPr>
      <w:r>
        <w:rPr>
          <w:bCs/>
        </w:rPr>
        <w:t>Einsparungen vor dem Entlastungspaket</w:t>
      </w:r>
      <w:r>
        <w:rPr>
          <w:bCs/>
        </w:rPr>
        <w:tab/>
        <w:t>2.9</w:t>
      </w:r>
      <w:r>
        <w:rPr>
          <w:bCs/>
        </w:rPr>
        <w:tab/>
        <w:t>Mio.</w:t>
      </w:r>
    </w:p>
    <w:p w:rsidR="00C577F9" w:rsidRPr="00096769" w:rsidRDefault="00C577F9" w:rsidP="00C577F9">
      <w:pPr>
        <w:pStyle w:val="Textkrper3"/>
        <w:numPr>
          <w:ilvl w:val="12"/>
          <w:numId w:val="0"/>
        </w:numPr>
        <w:tabs>
          <w:tab w:val="right" w:pos="7938"/>
          <w:tab w:val="left" w:pos="8080"/>
        </w:tabs>
        <w:rPr>
          <w:bCs/>
          <w:u w:val="single"/>
        </w:rPr>
      </w:pPr>
      <w:r w:rsidRPr="00096769">
        <w:rPr>
          <w:bCs/>
          <w:u w:val="single"/>
        </w:rPr>
        <w:t>Einsparungen in der ersten Phase des Entlastungspaketes</w:t>
      </w:r>
      <w:r w:rsidRPr="00096769">
        <w:rPr>
          <w:bCs/>
          <w:u w:val="single"/>
        </w:rPr>
        <w:tab/>
        <w:t>1.8</w:t>
      </w:r>
      <w:r w:rsidRPr="00096769">
        <w:rPr>
          <w:bCs/>
          <w:u w:val="single"/>
        </w:rPr>
        <w:tab/>
        <w:t>Mio.</w:t>
      </w:r>
    </w:p>
    <w:p w:rsidR="00C577F9" w:rsidRDefault="00C577F9" w:rsidP="00C577F9">
      <w:pPr>
        <w:pStyle w:val="Textkrper3"/>
        <w:numPr>
          <w:ilvl w:val="12"/>
          <w:numId w:val="0"/>
        </w:numPr>
        <w:tabs>
          <w:tab w:val="right" w:pos="7938"/>
          <w:tab w:val="left" w:pos="8080"/>
        </w:tabs>
        <w:rPr>
          <w:b/>
          <w:bCs/>
        </w:rPr>
      </w:pPr>
      <w:r w:rsidRPr="00096769">
        <w:rPr>
          <w:b/>
          <w:bCs/>
        </w:rPr>
        <w:t xml:space="preserve">Total Einsparungen gegenüber </w:t>
      </w:r>
      <w:r w:rsidR="00096769">
        <w:rPr>
          <w:b/>
          <w:bCs/>
        </w:rPr>
        <w:t xml:space="preserve">verabschiedetem </w:t>
      </w:r>
      <w:r w:rsidRPr="00096769">
        <w:rPr>
          <w:b/>
          <w:bCs/>
        </w:rPr>
        <w:t>Budget 2013</w:t>
      </w:r>
      <w:r w:rsidR="00096769">
        <w:rPr>
          <w:b/>
          <w:bCs/>
        </w:rPr>
        <w:t xml:space="preserve"> </w:t>
      </w:r>
      <w:r w:rsidRPr="00096769">
        <w:rPr>
          <w:b/>
          <w:bCs/>
        </w:rPr>
        <w:tab/>
      </w:r>
      <w:r w:rsidR="00096769" w:rsidRPr="00096769">
        <w:rPr>
          <w:b/>
          <w:bCs/>
        </w:rPr>
        <w:t>4.7</w:t>
      </w:r>
      <w:r w:rsidR="00096769" w:rsidRPr="00096769">
        <w:rPr>
          <w:b/>
          <w:bCs/>
        </w:rPr>
        <w:tab/>
      </w:r>
      <w:r w:rsidR="00DD73CA" w:rsidRPr="00096769">
        <w:rPr>
          <w:b/>
          <w:bCs/>
        </w:rPr>
        <w:t>Mio.</w:t>
      </w:r>
    </w:p>
    <w:p w:rsidR="00A809EC" w:rsidRDefault="00A809EC" w:rsidP="00C577F9">
      <w:pPr>
        <w:pStyle w:val="Textkrper3"/>
        <w:numPr>
          <w:ilvl w:val="12"/>
          <w:numId w:val="0"/>
        </w:numPr>
        <w:tabs>
          <w:tab w:val="right" w:pos="7938"/>
          <w:tab w:val="left" w:pos="8080"/>
        </w:tabs>
        <w:rPr>
          <w:b/>
          <w:bCs/>
        </w:rPr>
      </w:pPr>
    </w:p>
    <w:p w:rsidR="00A809EC" w:rsidRPr="00A809EC" w:rsidRDefault="00A809EC" w:rsidP="00C577F9">
      <w:pPr>
        <w:pStyle w:val="Textkrper3"/>
        <w:numPr>
          <w:ilvl w:val="12"/>
          <w:numId w:val="0"/>
        </w:numPr>
        <w:tabs>
          <w:tab w:val="right" w:pos="7938"/>
          <w:tab w:val="left" w:pos="8080"/>
        </w:tabs>
        <w:rPr>
          <w:bCs/>
        </w:rPr>
      </w:pPr>
    </w:p>
    <w:p w:rsidR="00A809EC" w:rsidRPr="00F45EB8" w:rsidRDefault="00F45EB8" w:rsidP="00C577F9">
      <w:pPr>
        <w:pStyle w:val="Textkrper3"/>
        <w:numPr>
          <w:ilvl w:val="12"/>
          <w:numId w:val="0"/>
        </w:numPr>
        <w:tabs>
          <w:tab w:val="right" w:pos="7938"/>
          <w:tab w:val="left" w:pos="8080"/>
        </w:tabs>
        <w:rPr>
          <w:bCs/>
        </w:rPr>
      </w:pPr>
      <w:r>
        <w:rPr>
          <w:bCs/>
        </w:rPr>
        <w:t>Mit de</w:t>
      </w:r>
      <w:r w:rsidR="00694C4F">
        <w:rPr>
          <w:bCs/>
        </w:rPr>
        <w:t>n</w:t>
      </w:r>
      <w:r>
        <w:rPr>
          <w:bCs/>
        </w:rPr>
        <w:t xml:space="preserve"> </w:t>
      </w:r>
      <w:r w:rsidR="00AA7405">
        <w:rPr>
          <w:bCs/>
        </w:rPr>
        <w:t xml:space="preserve">genannten </w:t>
      </w:r>
      <w:r>
        <w:rPr>
          <w:bCs/>
        </w:rPr>
        <w:t>Einsparunge</w:t>
      </w:r>
      <w:r w:rsidR="00694C4F">
        <w:rPr>
          <w:bCs/>
        </w:rPr>
        <w:t>n</w:t>
      </w:r>
      <w:r>
        <w:rPr>
          <w:bCs/>
        </w:rPr>
        <w:t xml:space="preserve"> konnten die Kosten für Personal- und Sachaufwand auf das Niveau des Jahre</w:t>
      </w:r>
      <w:r w:rsidR="00694C4F">
        <w:rPr>
          <w:bCs/>
        </w:rPr>
        <w:t>s 2008 heruntergedrückt werden.</w:t>
      </w:r>
    </w:p>
    <w:p w:rsidR="00C577F9" w:rsidRDefault="00C577F9">
      <w:pPr>
        <w:pStyle w:val="Textkrper3"/>
        <w:numPr>
          <w:ilvl w:val="12"/>
          <w:numId w:val="0"/>
        </w:numPr>
        <w:rPr>
          <w:bCs/>
        </w:rPr>
      </w:pPr>
    </w:p>
    <w:p w:rsidR="00A9561F" w:rsidRPr="0052690A" w:rsidRDefault="00A9561F">
      <w:pPr>
        <w:pStyle w:val="Textkrper3"/>
        <w:numPr>
          <w:ilvl w:val="12"/>
          <w:numId w:val="0"/>
        </w:numPr>
        <w:rPr>
          <w:bCs/>
        </w:rPr>
      </w:pPr>
    </w:p>
    <w:tbl>
      <w:tblPr>
        <w:tblStyle w:val="HelleSchattierung1"/>
        <w:tblW w:w="9589" w:type="dxa"/>
        <w:tblInd w:w="-176" w:type="dxa"/>
        <w:tblLayout w:type="fixed"/>
        <w:tblLook w:val="04A0"/>
      </w:tblPr>
      <w:tblGrid>
        <w:gridCol w:w="1985"/>
        <w:gridCol w:w="751"/>
        <w:gridCol w:w="751"/>
        <w:gridCol w:w="751"/>
        <w:gridCol w:w="752"/>
        <w:gridCol w:w="751"/>
        <w:gridCol w:w="751"/>
        <w:gridCol w:w="687"/>
        <w:gridCol w:w="851"/>
        <w:gridCol w:w="885"/>
        <w:gridCol w:w="674"/>
      </w:tblGrid>
      <w:tr w:rsidR="002B48CA" w:rsidRPr="002B48CA" w:rsidTr="00F21458">
        <w:trPr>
          <w:cnfStyle w:val="100000000000"/>
          <w:trHeight w:val="283"/>
        </w:trPr>
        <w:tc>
          <w:tcPr>
            <w:cnfStyle w:val="001000000000"/>
            <w:tcW w:w="1985" w:type="dxa"/>
            <w:noWrap/>
            <w:vAlign w:val="center"/>
            <w:hideMark/>
          </w:tcPr>
          <w:p w:rsidR="00761BBA" w:rsidRPr="002B48CA" w:rsidRDefault="00F548F4" w:rsidP="00F548F4">
            <w:pPr>
              <w:overflowPunct/>
              <w:autoSpaceDE/>
              <w:autoSpaceDN/>
              <w:adjustRightInd/>
              <w:textAlignment w:val="auto"/>
              <w:rPr>
                <w:rFonts w:ascii="Arial" w:hAnsi="Arial" w:cs="Arial"/>
                <w:sz w:val="22"/>
                <w:szCs w:val="22"/>
                <w:lang w:val="de-CH" w:eastAsia="de-CH"/>
              </w:rPr>
            </w:pPr>
            <w:r>
              <w:rPr>
                <w:rFonts w:ascii="Arial" w:hAnsi="Arial" w:cs="Arial"/>
                <w:sz w:val="22"/>
                <w:szCs w:val="22"/>
                <w:lang w:val="de-CH" w:eastAsia="de-CH"/>
              </w:rPr>
              <w:t>Kostenart</w:t>
            </w:r>
          </w:p>
        </w:tc>
        <w:tc>
          <w:tcPr>
            <w:tcW w:w="7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R06</w:t>
            </w:r>
          </w:p>
        </w:tc>
        <w:tc>
          <w:tcPr>
            <w:tcW w:w="7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R07</w:t>
            </w:r>
          </w:p>
        </w:tc>
        <w:tc>
          <w:tcPr>
            <w:tcW w:w="7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R08</w:t>
            </w:r>
          </w:p>
        </w:tc>
        <w:tc>
          <w:tcPr>
            <w:tcW w:w="752"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R09</w:t>
            </w:r>
          </w:p>
        </w:tc>
        <w:tc>
          <w:tcPr>
            <w:tcW w:w="7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R10</w:t>
            </w:r>
          </w:p>
        </w:tc>
        <w:tc>
          <w:tcPr>
            <w:tcW w:w="7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R11</w:t>
            </w:r>
          </w:p>
        </w:tc>
        <w:tc>
          <w:tcPr>
            <w:tcW w:w="687"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R12</w:t>
            </w:r>
          </w:p>
        </w:tc>
        <w:tc>
          <w:tcPr>
            <w:tcW w:w="851"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B13O</w:t>
            </w:r>
          </w:p>
        </w:tc>
        <w:tc>
          <w:tcPr>
            <w:tcW w:w="885"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B13K</w:t>
            </w:r>
          </w:p>
        </w:tc>
        <w:tc>
          <w:tcPr>
            <w:tcW w:w="674" w:type="dxa"/>
            <w:noWrap/>
            <w:vAlign w:val="center"/>
            <w:hideMark/>
          </w:tcPr>
          <w:p w:rsidR="00761BBA" w:rsidRPr="002B48CA" w:rsidRDefault="00761BBA" w:rsidP="002B48CA">
            <w:pPr>
              <w:overflowPunct/>
              <w:autoSpaceDE/>
              <w:autoSpaceDN/>
              <w:adjustRightInd/>
              <w:jc w:val="right"/>
              <w:textAlignment w:val="auto"/>
              <w:cnfStyle w:val="100000000000"/>
              <w:rPr>
                <w:rFonts w:ascii="Arial" w:hAnsi="Arial" w:cs="Arial"/>
                <w:bCs w:val="0"/>
                <w:sz w:val="22"/>
                <w:szCs w:val="22"/>
                <w:lang w:val="de-CH" w:eastAsia="de-CH"/>
              </w:rPr>
            </w:pPr>
            <w:r w:rsidRPr="002B48CA">
              <w:rPr>
                <w:rFonts w:ascii="Arial" w:hAnsi="Arial" w:cs="Arial"/>
                <w:bCs w:val="0"/>
                <w:sz w:val="22"/>
                <w:szCs w:val="22"/>
                <w:lang w:val="de-CH" w:eastAsia="de-CH"/>
              </w:rPr>
              <w:t>B14</w:t>
            </w:r>
          </w:p>
        </w:tc>
      </w:tr>
      <w:tr w:rsidR="002B48CA" w:rsidRPr="002B48CA" w:rsidTr="00F21458">
        <w:trPr>
          <w:cnfStyle w:val="000000100000"/>
          <w:trHeight w:val="283"/>
        </w:trPr>
        <w:tc>
          <w:tcPr>
            <w:cnfStyle w:val="001000000000"/>
            <w:tcW w:w="1985" w:type="dxa"/>
            <w:noWrap/>
            <w:vAlign w:val="center"/>
            <w:hideMark/>
          </w:tcPr>
          <w:p w:rsidR="00761BBA" w:rsidRPr="002B48CA" w:rsidRDefault="002B48CA" w:rsidP="002B48CA">
            <w:pPr>
              <w:overflowPunct/>
              <w:autoSpaceDE/>
              <w:autoSpaceDN/>
              <w:adjustRightInd/>
              <w:textAlignment w:val="auto"/>
              <w:rPr>
                <w:rFonts w:ascii="Arial" w:hAnsi="Arial" w:cs="Arial"/>
                <w:b w:val="0"/>
                <w:sz w:val="22"/>
                <w:szCs w:val="22"/>
                <w:lang w:val="de-CH" w:eastAsia="de-CH"/>
              </w:rPr>
            </w:pPr>
            <w:r w:rsidRPr="002B48CA">
              <w:rPr>
                <w:rFonts w:ascii="Arial" w:hAnsi="Arial" w:cs="Arial"/>
                <w:b w:val="0"/>
                <w:sz w:val="22"/>
                <w:szCs w:val="22"/>
                <w:lang w:val="de-CH" w:eastAsia="de-CH"/>
              </w:rPr>
              <w:t>P</w:t>
            </w:r>
            <w:r w:rsidR="00761BBA" w:rsidRPr="002B48CA">
              <w:rPr>
                <w:rFonts w:ascii="Arial" w:hAnsi="Arial" w:cs="Arial"/>
                <w:b w:val="0"/>
                <w:sz w:val="22"/>
                <w:szCs w:val="22"/>
                <w:lang w:val="de-CH" w:eastAsia="de-CH"/>
              </w:rPr>
              <w:t>ersonalau</w:t>
            </w:r>
            <w:r>
              <w:rPr>
                <w:rFonts w:ascii="Arial" w:hAnsi="Arial" w:cs="Arial"/>
                <w:b w:val="0"/>
                <w:sz w:val="22"/>
                <w:szCs w:val="22"/>
                <w:lang w:val="de-CH" w:eastAsia="de-CH"/>
              </w:rPr>
              <w:t>fwand</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43.0</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43.3</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45.1</w:t>
            </w:r>
          </w:p>
        </w:tc>
        <w:tc>
          <w:tcPr>
            <w:tcW w:w="752"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43.8</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45.4</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46.6</w:t>
            </w:r>
          </w:p>
        </w:tc>
        <w:tc>
          <w:tcPr>
            <w:tcW w:w="687"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47.8</w:t>
            </w:r>
          </w:p>
        </w:tc>
        <w:tc>
          <w:tcPr>
            <w:tcW w:w="8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48.4</w:t>
            </w:r>
          </w:p>
        </w:tc>
        <w:tc>
          <w:tcPr>
            <w:tcW w:w="885"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48.0</w:t>
            </w:r>
          </w:p>
        </w:tc>
        <w:tc>
          <w:tcPr>
            <w:tcW w:w="674" w:type="dxa"/>
            <w:noWrap/>
            <w:vAlign w:val="center"/>
            <w:hideMark/>
          </w:tcPr>
          <w:p w:rsidR="00761BBA" w:rsidRPr="002B48CA" w:rsidRDefault="00761BBA" w:rsidP="00D03F13">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45.</w:t>
            </w:r>
            <w:r w:rsidR="00D03F13">
              <w:rPr>
                <w:rFonts w:ascii="Arial" w:hAnsi="Arial" w:cs="Arial"/>
                <w:sz w:val="22"/>
                <w:szCs w:val="22"/>
                <w:lang w:val="de-CH" w:eastAsia="de-CH"/>
              </w:rPr>
              <w:t>4</w:t>
            </w:r>
          </w:p>
        </w:tc>
      </w:tr>
      <w:tr w:rsidR="002B48CA" w:rsidRPr="002B48CA" w:rsidTr="00F21458">
        <w:trPr>
          <w:trHeight w:val="283"/>
        </w:trPr>
        <w:tc>
          <w:tcPr>
            <w:cnfStyle w:val="001000000000"/>
            <w:tcW w:w="1985" w:type="dxa"/>
            <w:noWrap/>
            <w:vAlign w:val="center"/>
            <w:hideMark/>
          </w:tcPr>
          <w:p w:rsidR="00761BBA" w:rsidRPr="002B48CA" w:rsidRDefault="00761BBA" w:rsidP="002B48CA">
            <w:pPr>
              <w:overflowPunct/>
              <w:autoSpaceDE/>
              <w:autoSpaceDN/>
              <w:adjustRightInd/>
              <w:textAlignment w:val="auto"/>
              <w:rPr>
                <w:rFonts w:ascii="Arial" w:hAnsi="Arial" w:cs="Arial"/>
                <w:b w:val="0"/>
                <w:sz w:val="22"/>
                <w:szCs w:val="22"/>
                <w:lang w:val="de-CH" w:eastAsia="de-CH"/>
              </w:rPr>
            </w:pPr>
            <w:r w:rsidRPr="002B48CA">
              <w:rPr>
                <w:rFonts w:ascii="Arial" w:hAnsi="Arial" w:cs="Arial"/>
                <w:b w:val="0"/>
                <w:sz w:val="22"/>
                <w:szCs w:val="22"/>
                <w:lang w:val="de-CH" w:eastAsia="de-CH"/>
              </w:rPr>
              <w:t>Sachaufwand</w:t>
            </w:r>
          </w:p>
        </w:tc>
        <w:tc>
          <w:tcPr>
            <w:tcW w:w="7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13.8</w:t>
            </w:r>
          </w:p>
        </w:tc>
        <w:tc>
          <w:tcPr>
            <w:tcW w:w="7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14.8</w:t>
            </w:r>
          </w:p>
        </w:tc>
        <w:tc>
          <w:tcPr>
            <w:tcW w:w="7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16.0</w:t>
            </w:r>
          </w:p>
        </w:tc>
        <w:tc>
          <w:tcPr>
            <w:tcW w:w="752"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16.5</w:t>
            </w:r>
          </w:p>
        </w:tc>
        <w:tc>
          <w:tcPr>
            <w:tcW w:w="7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16.7</w:t>
            </w:r>
          </w:p>
        </w:tc>
        <w:tc>
          <w:tcPr>
            <w:tcW w:w="7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16.6</w:t>
            </w:r>
          </w:p>
        </w:tc>
        <w:tc>
          <w:tcPr>
            <w:tcW w:w="687"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17.0</w:t>
            </w:r>
          </w:p>
        </w:tc>
        <w:tc>
          <w:tcPr>
            <w:tcW w:w="851" w:type="dxa"/>
            <w:noWrap/>
            <w:vAlign w:val="center"/>
            <w:hideMark/>
          </w:tcPr>
          <w:p w:rsidR="00761BBA" w:rsidRPr="002B48CA" w:rsidRDefault="00761BBA" w:rsidP="002B48CA">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18.1</w:t>
            </w:r>
          </w:p>
        </w:tc>
        <w:tc>
          <w:tcPr>
            <w:tcW w:w="885" w:type="dxa"/>
            <w:noWrap/>
            <w:vAlign w:val="center"/>
            <w:hideMark/>
          </w:tcPr>
          <w:p w:rsidR="00761BBA" w:rsidRPr="002B48CA" w:rsidRDefault="00761BBA" w:rsidP="00D36B9E">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15.</w:t>
            </w:r>
            <w:r w:rsidR="00D36B9E">
              <w:rPr>
                <w:rFonts w:ascii="Arial" w:hAnsi="Arial" w:cs="Arial"/>
                <w:sz w:val="22"/>
                <w:szCs w:val="22"/>
                <w:lang w:val="de-CH" w:eastAsia="de-CH"/>
              </w:rPr>
              <w:t>7</w:t>
            </w:r>
          </w:p>
        </w:tc>
        <w:tc>
          <w:tcPr>
            <w:tcW w:w="674" w:type="dxa"/>
            <w:noWrap/>
            <w:vAlign w:val="center"/>
            <w:hideMark/>
          </w:tcPr>
          <w:p w:rsidR="00761BBA" w:rsidRPr="002B48CA" w:rsidRDefault="00761BBA" w:rsidP="00D03F13">
            <w:pPr>
              <w:overflowPunct/>
              <w:autoSpaceDE/>
              <w:autoSpaceDN/>
              <w:adjustRightInd/>
              <w:jc w:val="right"/>
              <w:textAlignment w:val="auto"/>
              <w:cnfStyle w:val="000000000000"/>
              <w:rPr>
                <w:rFonts w:ascii="Arial" w:hAnsi="Arial" w:cs="Arial"/>
                <w:sz w:val="22"/>
                <w:szCs w:val="22"/>
                <w:lang w:val="de-CH" w:eastAsia="de-CH"/>
              </w:rPr>
            </w:pPr>
            <w:r w:rsidRPr="002B48CA">
              <w:rPr>
                <w:rFonts w:ascii="Arial" w:hAnsi="Arial" w:cs="Arial"/>
                <w:sz w:val="22"/>
                <w:szCs w:val="22"/>
                <w:lang w:val="de-CH" w:eastAsia="de-CH"/>
              </w:rPr>
              <w:t>15.</w:t>
            </w:r>
            <w:r w:rsidR="00D03F13">
              <w:rPr>
                <w:rFonts w:ascii="Arial" w:hAnsi="Arial" w:cs="Arial"/>
                <w:sz w:val="22"/>
                <w:szCs w:val="22"/>
                <w:lang w:val="de-CH" w:eastAsia="de-CH"/>
              </w:rPr>
              <w:t>4</w:t>
            </w:r>
          </w:p>
        </w:tc>
      </w:tr>
      <w:tr w:rsidR="002B48CA" w:rsidRPr="002B48CA" w:rsidTr="00F21458">
        <w:trPr>
          <w:cnfStyle w:val="000000100000"/>
          <w:trHeight w:val="283"/>
        </w:trPr>
        <w:tc>
          <w:tcPr>
            <w:cnfStyle w:val="001000000000"/>
            <w:tcW w:w="1985" w:type="dxa"/>
            <w:noWrap/>
            <w:vAlign w:val="center"/>
            <w:hideMark/>
          </w:tcPr>
          <w:p w:rsidR="00761BBA" w:rsidRPr="002B48CA" w:rsidRDefault="00761BBA" w:rsidP="002B48CA">
            <w:pPr>
              <w:overflowPunct/>
              <w:autoSpaceDE/>
              <w:autoSpaceDN/>
              <w:adjustRightInd/>
              <w:textAlignment w:val="auto"/>
              <w:rPr>
                <w:rFonts w:ascii="Arial" w:hAnsi="Arial" w:cs="Arial"/>
                <w:b w:val="0"/>
                <w:sz w:val="22"/>
                <w:szCs w:val="22"/>
                <w:lang w:val="de-CH" w:eastAsia="de-CH"/>
              </w:rPr>
            </w:pPr>
            <w:r w:rsidRPr="002B48CA">
              <w:rPr>
                <w:rFonts w:ascii="Arial" w:hAnsi="Arial" w:cs="Arial"/>
                <w:b w:val="0"/>
                <w:sz w:val="22"/>
                <w:szCs w:val="22"/>
                <w:lang w:val="de-CH" w:eastAsia="de-CH"/>
              </w:rPr>
              <w:t>Eigene Beiträge</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26.2</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27.9</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29.5</w:t>
            </w:r>
          </w:p>
        </w:tc>
        <w:tc>
          <w:tcPr>
            <w:tcW w:w="752"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22.4</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24.9</w:t>
            </w:r>
          </w:p>
        </w:tc>
        <w:tc>
          <w:tcPr>
            <w:tcW w:w="751"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25.3</w:t>
            </w:r>
          </w:p>
        </w:tc>
        <w:tc>
          <w:tcPr>
            <w:tcW w:w="687" w:type="dxa"/>
            <w:noWrap/>
            <w:vAlign w:val="center"/>
            <w:hideMark/>
          </w:tcPr>
          <w:p w:rsidR="00761BBA" w:rsidRPr="002B48CA" w:rsidRDefault="00761BBA" w:rsidP="002B48CA">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30.5</w:t>
            </w:r>
          </w:p>
        </w:tc>
        <w:tc>
          <w:tcPr>
            <w:tcW w:w="851" w:type="dxa"/>
            <w:noWrap/>
            <w:vAlign w:val="center"/>
            <w:hideMark/>
          </w:tcPr>
          <w:p w:rsidR="00761BBA" w:rsidRPr="002B48CA" w:rsidRDefault="00761BBA" w:rsidP="00D36B9E">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w:t>
            </w:r>
            <w:r w:rsidR="00D7675E">
              <w:rPr>
                <w:rFonts w:ascii="Arial" w:hAnsi="Arial" w:cs="Arial"/>
                <w:sz w:val="22"/>
                <w:szCs w:val="22"/>
                <w:lang w:val="de-CH" w:eastAsia="de-CH"/>
              </w:rPr>
              <w:t>8</w:t>
            </w:r>
            <w:r w:rsidRPr="002B48CA">
              <w:rPr>
                <w:rFonts w:ascii="Arial" w:hAnsi="Arial" w:cs="Arial"/>
                <w:sz w:val="22"/>
                <w:szCs w:val="22"/>
                <w:lang w:val="de-CH" w:eastAsia="de-CH"/>
              </w:rPr>
              <w:t>.</w:t>
            </w:r>
            <w:r w:rsidR="00D36B9E">
              <w:rPr>
                <w:rFonts w:ascii="Arial" w:hAnsi="Arial" w:cs="Arial"/>
                <w:sz w:val="22"/>
                <w:szCs w:val="22"/>
                <w:lang w:val="de-CH" w:eastAsia="de-CH"/>
              </w:rPr>
              <w:t>1</w:t>
            </w:r>
          </w:p>
        </w:tc>
        <w:tc>
          <w:tcPr>
            <w:tcW w:w="885" w:type="dxa"/>
            <w:noWrap/>
            <w:vAlign w:val="center"/>
            <w:hideMark/>
          </w:tcPr>
          <w:p w:rsidR="00761BBA" w:rsidRPr="002B48CA" w:rsidRDefault="00761BBA" w:rsidP="00D7675E">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27.</w:t>
            </w:r>
            <w:r w:rsidR="00D7675E">
              <w:rPr>
                <w:rFonts w:ascii="Arial" w:hAnsi="Arial" w:cs="Arial"/>
                <w:sz w:val="22"/>
                <w:szCs w:val="22"/>
                <w:lang w:val="de-CH" w:eastAsia="de-CH"/>
              </w:rPr>
              <w:t>7</w:t>
            </w:r>
          </w:p>
        </w:tc>
        <w:tc>
          <w:tcPr>
            <w:tcW w:w="674" w:type="dxa"/>
            <w:noWrap/>
            <w:vAlign w:val="center"/>
            <w:hideMark/>
          </w:tcPr>
          <w:p w:rsidR="00761BBA" w:rsidRPr="002B48CA" w:rsidRDefault="00761BBA" w:rsidP="00D03F13">
            <w:pPr>
              <w:overflowPunct/>
              <w:autoSpaceDE/>
              <w:autoSpaceDN/>
              <w:adjustRightInd/>
              <w:jc w:val="right"/>
              <w:textAlignment w:val="auto"/>
              <w:cnfStyle w:val="000000100000"/>
              <w:rPr>
                <w:rFonts w:ascii="Arial" w:hAnsi="Arial" w:cs="Arial"/>
                <w:sz w:val="22"/>
                <w:szCs w:val="22"/>
                <w:lang w:val="de-CH" w:eastAsia="de-CH"/>
              </w:rPr>
            </w:pPr>
            <w:r w:rsidRPr="002B48CA">
              <w:rPr>
                <w:rFonts w:ascii="Arial" w:hAnsi="Arial" w:cs="Arial"/>
                <w:sz w:val="22"/>
                <w:szCs w:val="22"/>
                <w:lang w:val="de-CH" w:eastAsia="de-CH"/>
              </w:rPr>
              <w:t>28.</w:t>
            </w:r>
            <w:r w:rsidR="00D03F13">
              <w:rPr>
                <w:rFonts w:ascii="Arial" w:hAnsi="Arial" w:cs="Arial"/>
                <w:sz w:val="22"/>
                <w:szCs w:val="22"/>
                <w:lang w:val="de-CH" w:eastAsia="de-CH"/>
              </w:rPr>
              <w:t>7</w:t>
            </w:r>
          </w:p>
        </w:tc>
      </w:tr>
      <w:tr w:rsidR="00096769" w:rsidRPr="002B48CA" w:rsidTr="00F21458">
        <w:trPr>
          <w:trHeight w:val="283"/>
        </w:trPr>
        <w:tc>
          <w:tcPr>
            <w:cnfStyle w:val="001000000000"/>
            <w:tcW w:w="1985" w:type="dxa"/>
            <w:noWrap/>
            <w:vAlign w:val="center"/>
            <w:hideMark/>
          </w:tcPr>
          <w:p w:rsidR="00096769" w:rsidRPr="00096769" w:rsidRDefault="00096769" w:rsidP="002B48CA">
            <w:pPr>
              <w:overflowPunct/>
              <w:autoSpaceDE/>
              <w:autoSpaceDN/>
              <w:adjustRightInd/>
              <w:textAlignment w:val="auto"/>
              <w:rPr>
                <w:rFonts w:ascii="Arial" w:hAnsi="Arial" w:cs="Arial"/>
                <w:sz w:val="22"/>
                <w:szCs w:val="22"/>
                <w:lang w:val="de-CH" w:eastAsia="de-CH"/>
              </w:rPr>
            </w:pPr>
            <w:r w:rsidRPr="00096769">
              <w:rPr>
                <w:rFonts w:ascii="Arial" w:hAnsi="Arial" w:cs="Arial"/>
                <w:sz w:val="22"/>
                <w:szCs w:val="22"/>
                <w:lang w:val="de-CH" w:eastAsia="de-CH"/>
              </w:rPr>
              <w:t>Total</w:t>
            </w:r>
          </w:p>
        </w:tc>
        <w:tc>
          <w:tcPr>
            <w:tcW w:w="751"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83.0</w:t>
            </w:r>
          </w:p>
        </w:tc>
        <w:tc>
          <w:tcPr>
            <w:tcW w:w="751"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86.0</w:t>
            </w:r>
          </w:p>
        </w:tc>
        <w:tc>
          <w:tcPr>
            <w:tcW w:w="751"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90.6</w:t>
            </w:r>
          </w:p>
        </w:tc>
        <w:tc>
          <w:tcPr>
            <w:tcW w:w="752"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82.7</w:t>
            </w:r>
          </w:p>
        </w:tc>
        <w:tc>
          <w:tcPr>
            <w:tcW w:w="751"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87.0</w:t>
            </w:r>
          </w:p>
        </w:tc>
        <w:tc>
          <w:tcPr>
            <w:tcW w:w="751"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88.5</w:t>
            </w:r>
          </w:p>
        </w:tc>
        <w:tc>
          <w:tcPr>
            <w:tcW w:w="687" w:type="dxa"/>
            <w:noWrap/>
            <w:vAlign w:val="center"/>
            <w:hideMark/>
          </w:tcPr>
          <w:p w:rsidR="00096769" w:rsidRPr="00096769" w:rsidRDefault="00096769" w:rsidP="002B48CA">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95.3</w:t>
            </w:r>
          </w:p>
        </w:tc>
        <w:tc>
          <w:tcPr>
            <w:tcW w:w="851" w:type="dxa"/>
            <w:noWrap/>
            <w:vAlign w:val="center"/>
            <w:hideMark/>
          </w:tcPr>
          <w:p w:rsidR="00096769" w:rsidRPr="00096769" w:rsidRDefault="00096769" w:rsidP="00D36B9E">
            <w:pPr>
              <w:overflowPunct/>
              <w:autoSpaceDE/>
              <w:autoSpaceDN/>
              <w:adjustRightInd/>
              <w:jc w:val="right"/>
              <w:textAlignment w:val="auto"/>
              <w:cnfStyle w:val="000000000000"/>
              <w:rPr>
                <w:rFonts w:ascii="Arial" w:hAnsi="Arial" w:cs="Arial"/>
                <w:b/>
                <w:sz w:val="22"/>
                <w:szCs w:val="22"/>
                <w:lang w:val="de-CH" w:eastAsia="de-CH"/>
              </w:rPr>
            </w:pPr>
            <w:r w:rsidRPr="00096769">
              <w:rPr>
                <w:rFonts w:ascii="Arial" w:hAnsi="Arial" w:cs="Arial"/>
                <w:b/>
                <w:sz w:val="22"/>
                <w:szCs w:val="22"/>
                <w:lang w:val="de-CH" w:eastAsia="de-CH"/>
              </w:rPr>
              <w:t>94.</w:t>
            </w:r>
            <w:r w:rsidR="00D36B9E">
              <w:rPr>
                <w:rFonts w:ascii="Arial" w:hAnsi="Arial" w:cs="Arial"/>
                <w:b/>
                <w:sz w:val="22"/>
                <w:szCs w:val="22"/>
                <w:lang w:val="de-CH" w:eastAsia="de-CH"/>
              </w:rPr>
              <w:t>6</w:t>
            </w:r>
          </w:p>
        </w:tc>
        <w:tc>
          <w:tcPr>
            <w:tcW w:w="885" w:type="dxa"/>
            <w:noWrap/>
            <w:vAlign w:val="center"/>
            <w:hideMark/>
          </w:tcPr>
          <w:p w:rsidR="00096769" w:rsidRPr="00096769" w:rsidRDefault="00D36B9E" w:rsidP="00D7675E">
            <w:pPr>
              <w:overflowPunct/>
              <w:autoSpaceDE/>
              <w:autoSpaceDN/>
              <w:adjustRightInd/>
              <w:jc w:val="right"/>
              <w:textAlignment w:val="auto"/>
              <w:cnfStyle w:val="000000000000"/>
              <w:rPr>
                <w:rFonts w:ascii="Arial" w:hAnsi="Arial" w:cs="Arial"/>
                <w:b/>
                <w:sz w:val="22"/>
                <w:szCs w:val="22"/>
                <w:lang w:val="de-CH" w:eastAsia="de-CH"/>
              </w:rPr>
            </w:pPr>
            <w:r>
              <w:rPr>
                <w:rFonts w:ascii="Arial" w:hAnsi="Arial" w:cs="Arial"/>
                <w:b/>
                <w:sz w:val="22"/>
                <w:szCs w:val="22"/>
                <w:lang w:val="de-CH" w:eastAsia="de-CH"/>
              </w:rPr>
              <w:t>91.4</w:t>
            </w:r>
          </w:p>
        </w:tc>
        <w:tc>
          <w:tcPr>
            <w:tcW w:w="674" w:type="dxa"/>
            <w:noWrap/>
            <w:vAlign w:val="center"/>
            <w:hideMark/>
          </w:tcPr>
          <w:p w:rsidR="00096769" w:rsidRPr="00096769" w:rsidRDefault="00D03F13" w:rsidP="00372EEF">
            <w:pPr>
              <w:overflowPunct/>
              <w:autoSpaceDE/>
              <w:autoSpaceDN/>
              <w:adjustRightInd/>
              <w:jc w:val="right"/>
              <w:textAlignment w:val="auto"/>
              <w:cnfStyle w:val="000000000000"/>
              <w:rPr>
                <w:rFonts w:ascii="Arial" w:hAnsi="Arial" w:cs="Arial"/>
                <w:b/>
                <w:sz w:val="22"/>
                <w:szCs w:val="22"/>
                <w:lang w:val="de-CH" w:eastAsia="de-CH"/>
              </w:rPr>
            </w:pPr>
            <w:r>
              <w:rPr>
                <w:rFonts w:ascii="Arial" w:hAnsi="Arial" w:cs="Arial"/>
                <w:b/>
                <w:sz w:val="22"/>
                <w:szCs w:val="22"/>
                <w:lang w:val="de-CH" w:eastAsia="de-CH"/>
              </w:rPr>
              <w:t>89.5</w:t>
            </w:r>
          </w:p>
        </w:tc>
      </w:tr>
    </w:tbl>
    <w:p w:rsidR="00FB4AA2" w:rsidRPr="00F45EB8" w:rsidRDefault="00F548F4">
      <w:pPr>
        <w:pStyle w:val="Textkrper3"/>
        <w:numPr>
          <w:ilvl w:val="12"/>
          <w:numId w:val="0"/>
        </w:numPr>
        <w:rPr>
          <w:bCs/>
          <w:i/>
          <w:sz w:val="14"/>
          <w:szCs w:val="14"/>
        </w:rPr>
      </w:pPr>
      <w:r w:rsidRPr="00F45EB8">
        <w:rPr>
          <w:bCs/>
          <w:i/>
          <w:sz w:val="18"/>
          <w:szCs w:val="18"/>
        </w:rPr>
        <w:t>Kostenartenentwicklung ohne HPS</w:t>
      </w:r>
      <w:r w:rsidRPr="00F45EB8">
        <w:rPr>
          <w:bCs/>
          <w:i/>
          <w:sz w:val="14"/>
          <w:szCs w:val="14"/>
        </w:rPr>
        <w:br/>
      </w:r>
    </w:p>
    <w:p w:rsidR="003A6FFD" w:rsidRDefault="00F548F4">
      <w:pPr>
        <w:pStyle w:val="Textkrper3"/>
        <w:numPr>
          <w:ilvl w:val="12"/>
          <w:numId w:val="0"/>
        </w:numPr>
        <w:rPr>
          <w:bCs/>
        </w:rPr>
      </w:pPr>
      <w:r>
        <w:rPr>
          <w:bCs/>
        </w:rPr>
        <w:lastRenderedPageBreak/>
        <w:t xml:space="preserve">Die Personalkosten konnten gegenüber dem Budget 2013 um </w:t>
      </w:r>
      <w:r w:rsidR="00D03F13">
        <w:rPr>
          <w:bCs/>
        </w:rPr>
        <w:t>3.0</w:t>
      </w:r>
      <w:r>
        <w:rPr>
          <w:bCs/>
        </w:rPr>
        <w:t xml:space="preserve"> Mio. Franken oder </w:t>
      </w:r>
      <w:r w:rsidR="00D03F13">
        <w:rPr>
          <w:bCs/>
        </w:rPr>
        <w:t>6</w:t>
      </w:r>
      <w:r>
        <w:rPr>
          <w:bCs/>
        </w:rPr>
        <w:t>.1% g</w:t>
      </w:r>
      <w:r>
        <w:rPr>
          <w:bCs/>
        </w:rPr>
        <w:t>e</w:t>
      </w:r>
      <w:r>
        <w:rPr>
          <w:bCs/>
        </w:rPr>
        <w:t>senkt werden. Der Sachaufwand wurde um 2.</w:t>
      </w:r>
      <w:r w:rsidR="00D03F13">
        <w:rPr>
          <w:bCs/>
        </w:rPr>
        <w:t>7</w:t>
      </w:r>
      <w:r w:rsidR="007D2761">
        <w:rPr>
          <w:bCs/>
        </w:rPr>
        <w:t xml:space="preserve"> </w:t>
      </w:r>
      <w:r w:rsidR="00DD73CA">
        <w:rPr>
          <w:bCs/>
        </w:rPr>
        <w:t>Mio.</w:t>
      </w:r>
      <w:r>
        <w:rPr>
          <w:bCs/>
        </w:rPr>
        <w:t xml:space="preserve"> (</w:t>
      </w:r>
      <w:r w:rsidR="00D03F13">
        <w:rPr>
          <w:bCs/>
        </w:rPr>
        <w:t>15</w:t>
      </w:r>
      <w:r>
        <w:rPr>
          <w:bCs/>
        </w:rPr>
        <w:t>%) auf 15.</w:t>
      </w:r>
      <w:r w:rsidR="00D03F13">
        <w:rPr>
          <w:bCs/>
        </w:rPr>
        <w:t>4</w:t>
      </w:r>
      <w:r>
        <w:rPr>
          <w:bCs/>
        </w:rPr>
        <w:t xml:space="preserve"> Mio. Franken gesenkt. Die Beiträge erfuhren vom Budget 2013 auf das Budget 2014 eine Zunahme von 0.</w:t>
      </w:r>
      <w:r w:rsidR="00D36B9E">
        <w:rPr>
          <w:bCs/>
        </w:rPr>
        <w:t>6</w:t>
      </w:r>
      <w:r>
        <w:rPr>
          <w:bCs/>
        </w:rPr>
        <w:t xml:space="preserve"> Mio. Franken. </w:t>
      </w:r>
      <w:r w:rsidR="00D36B9E">
        <w:rPr>
          <w:bCs/>
        </w:rPr>
        <w:t>Diese sind vor allem durch Steigerungen bei der Sozialregion, den Administrationskosten der Sozialregion sowie den Restkosten der Sozialregion zurückzuführen (+ 1.7 Mio. Fr.). Gleichze</w:t>
      </w:r>
      <w:r w:rsidR="00D36B9E">
        <w:rPr>
          <w:bCs/>
        </w:rPr>
        <w:t>i</w:t>
      </w:r>
      <w:r w:rsidR="00D36B9E">
        <w:rPr>
          <w:bCs/>
        </w:rPr>
        <w:t>tig</w:t>
      </w:r>
      <w:r w:rsidR="009C10B8">
        <w:rPr>
          <w:bCs/>
        </w:rPr>
        <w:t xml:space="preserve"> konnten die EL-Beiträge um 0.7 Mio. reduziert werden.</w:t>
      </w:r>
    </w:p>
    <w:p w:rsidR="00F45EB8" w:rsidRDefault="00F45EB8">
      <w:pPr>
        <w:pStyle w:val="Textkrper3"/>
        <w:numPr>
          <w:ilvl w:val="12"/>
          <w:numId w:val="0"/>
        </w:numPr>
        <w:rPr>
          <w:bCs/>
        </w:rPr>
      </w:pPr>
    </w:p>
    <w:p w:rsidR="00D36B9E" w:rsidRDefault="00D36B9E">
      <w:pPr>
        <w:pStyle w:val="Textkrper3"/>
        <w:numPr>
          <w:ilvl w:val="12"/>
          <w:numId w:val="0"/>
        </w:numPr>
        <w:rPr>
          <w:bCs/>
        </w:rPr>
      </w:pPr>
    </w:p>
    <w:p w:rsidR="00F548F4" w:rsidRDefault="00F548F4">
      <w:pPr>
        <w:pStyle w:val="Textkrper3"/>
        <w:numPr>
          <w:ilvl w:val="12"/>
          <w:numId w:val="0"/>
        </w:numPr>
        <w:rPr>
          <w:bCs/>
        </w:rPr>
      </w:pPr>
    </w:p>
    <w:p w:rsidR="0042349A" w:rsidRPr="002C59D5" w:rsidRDefault="00E6032D">
      <w:pPr>
        <w:pStyle w:val="Textkrper3"/>
        <w:numPr>
          <w:ilvl w:val="12"/>
          <w:numId w:val="0"/>
        </w:numPr>
        <w:rPr>
          <w:b/>
          <w:bCs/>
        </w:rPr>
      </w:pPr>
      <w:r w:rsidRPr="002C59D5">
        <w:rPr>
          <w:b/>
          <w:bCs/>
        </w:rPr>
        <w:t xml:space="preserve">9. Chancen und Risiken </w:t>
      </w:r>
      <w:r w:rsidR="006A3C9B">
        <w:rPr>
          <w:b/>
          <w:bCs/>
        </w:rPr>
        <w:t>in der</w:t>
      </w:r>
      <w:r w:rsidRPr="002C59D5">
        <w:rPr>
          <w:b/>
          <w:bCs/>
        </w:rPr>
        <w:t xml:space="preserve"> Entwicklung des Finanzhaushalts</w:t>
      </w:r>
    </w:p>
    <w:p w:rsidR="0042349A" w:rsidRPr="002C59D5" w:rsidRDefault="0042349A">
      <w:pPr>
        <w:pStyle w:val="Textkrper3"/>
        <w:numPr>
          <w:ilvl w:val="12"/>
          <w:numId w:val="0"/>
        </w:numPr>
        <w:rPr>
          <w:bCs/>
        </w:rPr>
      </w:pPr>
    </w:p>
    <w:p w:rsidR="0042349A" w:rsidRPr="002C59D5" w:rsidRDefault="00E6032D">
      <w:pPr>
        <w:pStyle w:val="Textkrper3"/>
        <w:numPr>
          <w:ilvl w:val="12"/>
          <w:numId w:val="0"/>
        </w:numPr>
        <w:rPr>
          <w:b/>
          <w:bCs/>
        </w:rPr>
      </w:pPr>
      <w:r w:rsidRPr="002C59D5">
        <w:rPr>
          <w:b/>
          <w:bCs/>
        </w:rPr>
        <w:t>9.1</w:t>
      </w:r>
      <w:r w:rsidR="0042349A" w:rsidRPr="002C59D5">
        <w:rPr>
          <w:b/>
          <w:bCs/>
        </w:rPr>
        <w:t>. Unternehmenssteuerreform III (UStR III)</w:t>
      </w:r>
    </w:p>
    <w:p w:rsidR="0042349A" w:rsidRPr="002C59D5" w:rsidRDefault="0042349A">
      <w:pPr>
        <w:pStyle w:val="Textkrper3"/>
        <w:numPr>
          <w:ilvl w:val="12"/>
          <w:numId w:val="0"/>
        </w:numPr>
        <w:rPr>
          <w:bCs/>
        </w:rPr>
      </w:pPr>
    </w:p>
    <w:p w:rsidR="0042349A" w:rsidRPr="002C59D5" w:rsidRDefault="0042349A">
      <w:pPr>
        <w:pStyle w:val="Textkrper3"/>
        <w:numPr>
          <w:ilvl w:val="12"/>
          <w:numId w:val="0"/>
        </w:numPr>
        <w:rPr>
          <w:bCs/>
        </w:rPr>
      </w:pPr>
      <w:r w:rsidRPr="002C59D5">
        <w:rPr>
          <w:bCs/>
        </w:rPr>
        <w:t>Die Europäische Union (EU) stellt sich auf den Standpunkt, dass die kantonalen St</w:t>
      </w:r>
      <w:r w:rsidR="002C59D5">
        <w:rPr>
          <w:bCs/>
        </w:rPr>
        <w:t>eu</w:t>
      </w:r>
      <w:r w:rsidRPr="002C59D5">
        <w:rPr>
          <w:bCs/>
        </w:rPr>
        <w:t>erstatus der Schweiz gegen das EU-Fre</w:t>
      </w:r>
      <w:r w:rsidR="00DD73CA">
        <w:rPr>
          <w:bCs/>
        </w:rPr>
        <w:t>i</w:t>
      </w:r>
      <w:r w:rsidRPr="002C59D5">
        <w:rPr>
          <w:bCs/>
        </w:rPr>
        <w:t>handelsabkommen 1972 verstossen</w:t>
      </w:r>
      <w:r w:rsidR="007D2761">
        <w:rPr>
          <w:bCs/>
        </w:rPr>
        <w:t>,</w:t>
      </w:r>
      <w:r w:rsidRPr="002C59D5">
        <w:rPr>
          <w:bCs/>
        </w:rPr>
        <w:t xml:space="preserve"> weil bei Statusgesellscha</w:t>
      </w:r>
      <w:r w:rsidRPr="002C59D5">
        <w:rPr>
          <w:bCs/>
        </w:rPr>
        <w:t>f</w:t>
      </w:r>
      <w:r w:rsidRPr="002C59D5">
        <w:rPr>
          <w:bCs/>
        </w:rPr>
        <w:t>ten (Holdinggesellschaften, Domizilgesellschaften, gemischten Gesellschaften) Auslanderträge viel niedriger besteuert we</w:t>
      </w:r>
      <w:r w:rsidR="0007496B" w:rsidRPr="002C59D5">
        <w:rPr>
          <w:bCs/>
        </w:rPr>
        <w:t>r</w:t>
      </w:r>
      <w:r w:rsidRPr="002C59D5">
        <w:rPr>
          <w:bCs/>
        </w:rPr>
        <w:t>den als die Inlanderträge. Die</w:t>
      </w:r>
      <w:r w:rsidR="007D2761">
        <w:rPr>
          <w:bCs/>
        </w:rPr>
        <w:t>s</w:t>
      </w:r>
      <w:r w:rsidRPr="002C59D5">
        <w:rPr>
          <w:bCs/>
        </w:rPr>
        <w:t xml:space="preserve"> stelle eine unzulässige staatliche Be</w:t>
      </w:r>
      <w:r w:rsidRPr="002C59D5">
        <w:rPr>
          <w:bCs/>
        </w:rPr>
        <w:t>i</w:t>
      </w:r>
      <w:r w:rsidRPr="002C59D5">
        <w:rPr>
          <w:bCs/>
        </w:rPr>
        <w:t>hilfe da</w:t>
      </w:r>
      <w:r w:rsidR="00982A8C">
        <w:rPr>
          <w:bCs/>
        </w:rPr>
        <w:t>r</w:t>
      </w:r>
      <w:r w:rsidR="002C59D5">
        <w:rPr>
          <w:bCs/>
        </w:rPr>
        <w:t xml:space="preserve"> </w:t>
      </w:r>
      <w:r w:rsidRPr="002C59D5">
        <w:rPr>
          <w:bCs/>
        </w:rPr>
        <w:t>und führe zu einer Wettbewerbsverzerrung.</w:t>
      </w:r>
    </w:p>
    <w:p w:rsidR="0042349A" w:rsidRPr="002C59D5" w:rsidRDefault="0042349A">
      <w:pPr>
        <w:pStyle w:val="Textkrper3"/>
        <w:numPr>
          <w:ilvl w:val="12"/>
          <w:numId w:val="0"/>
        </w:numPr>
        <w:rPr>
          <w:bCs/>
        </w:rPr>
      </w:pPr>
    </w:p>
    <w:p w:rsidR="0042349A" w:rsidRPr="002C59D5" w:rsidRDefault="00DD73CA">
      <w:pPr>
        <w:pStyle w:val="Textkrper3"/>
        <w:numPr>
          <w:ilvl w:val="12"/>
          <w:numId w:val="0"/>
        </w:numPr>
        <w:rPr>
          <w:bCs/>
        </w:rPr>
      </w:pPr>
      <w:r w:rsidRPr="002C59D5">
        <w:rPr>
          <w:bCs/>
        </w:rPr>
        <w:t>Zurzeit</w:t>
      </w:r>
      <w:r w:rsidR="0042349A" w:rsidRPr="002C59D5">
        <w:rPr>
          <w:bCs/>
        </w:rPr>
        <w:t xml:space="preserve"> ist der Bundesrat daran mit der EU einen Dialog bezüglich dieser Besteuerungsfrage zu führen, da die EU di</w:t>
      </w:r>
      <w:r w:rsidR="007D2761">
        <w:rPr>
          <w:bCs/>
        </w:rPr>
        <w:t>ese Praxis nicht mehr länger to</w:t>
      </w:r>
      <w:r w:rsidR="0042349A" w:rsidRPr="002C59D5">
        <w:rPr>
          <w:bCs/>
        </w:rPr>
        <w:t>lerieren wird und möglicherweise Sanktionen oder sonstige Benachteiligungen für Unternehmen</w:t>
      </w:r>
      <w:r w:rsidR="007D2761">
        <w:rPr>
          <w:bCs/>
        </w:rPr>
        <w:t>,</w:t>
      </w:r>
      <w:r w:rsidR="0042349A" w:rsidRPr="002C59D5">
        <w:rPr>
          <w:bCs/>
        </w:rPr>
        <w:t xml:space="preserve"> welche ihren Holdingsitz in der Schweiz h</w:t>
      </w:r>
      <w:r w:rsidR="0042349A" w:rsidRPr="002C59D5">
        <w:rPr>
          <w:bCs/>
        </w:rPr>
        <w:t>a</w:t>
      </w:r>
      <w:r w:rsidR="0042349A" w:rsidRPr="002C59D5">
        <w:rPr>
          <w:bCs/>
        </w:rPr>
        <w:t>ben</w:t>
      </w:r>
      <w:r w:rsidR="00AA7405">
        <w:rPr>
          <w:bCs/>
        </w:rPr>
        <w:t>,</w:t>
      </w:r>
      <w:r w:rsidR="0042349A" w:rsidRPr="002C59D5">
        <w:rPr>
          <w:bCs/>
        </w:rPr>
        <w:t xml:space="preserve"> </w:t>
      </w:r>
      <w:r w:rsidR="00AA7405">
        <w:rPr>
          <w:bCs/>
        </w:rPr>
        <w:t>ergreifen</w:t>
      </w:r>
      <w:r w:rsidR="0042349A" w:rsidRPr="002C59D5">
        <w:rPr>
          <w:bCs/>
        </w:rPr>
        <w:t xml:space="preserve"> wird. Dabei ist eine vom Bundesrat eingesetzte Arbeitsgruppe daran</w:t>
      </w:r>
      <w:r w:rsidR="00982A8C">
        <w:rPr>
          <w:bCs/>
        </w:rPr>
        <w:t>,</w:t>
      </w:r>
      <w:r w:rsidR="0042349A" w:rsidRPr="002C59D5">
        <w:rPr>
          <w:bCs/>
        </w:rPr>
        <w:t xml:space="preserve"> mögliche Lösungen zu suchen. Dies könnte beispielsweise die Aufhebung der bisherigen Privilegien sein, verbunden mit einer gleichzeitigen Steuersenkung oder einer Verankerung sogenannter Innov</w:t>
      </w:r>
      <w:r w:rsidR="0042349A" w:rsidRPr="002C59D5">
        <w:rPr>
          <w:bCs/>
        </w:rPr>
        <w:t>a</w:t>
      </w:r>
      <w:r w:rsidR="0042349A" w:rsidRPr="002C59D5">
        <w:rPr>
          <w:bCs/>
        </w:rPr>
        <w:t>tions</w:t>
      </w:r>
      <w:r w:rsidR="0007496B" w:rsidRPr="002C59D5">
        <w:rPr>
          <w:bCs/>
        </w:rPr>
        <w:t>- oder Lizenz</w:t>
      </w:r>
      <w:r w:rsidR="0042349A" w:rsidRPr="002C59D5">
        <w:rPr>
          <w:bCs/>
        </w:rPr>
        <w:t>boxen im Steuerharmonisierungsgesetz (StHG)</w:t>
      </w:r>
      <w:r w:rsidR="00AA7405">
        <w:rPr>
          <w:bCs/>
        </w:rPr>
        <w:t>,</w:t>
      </w:r>
      <w:r w:rsidR="0042349A" w:rsidRPr="002C59D5">
        <w:rPr>
          <w:bCs/>
        </w:rPr>
        <w:t xml:space="preserve"> welche Erträge aus </w:t>
      </w:r>
      <w:r w:rsidR="006F069A" w:rsidRPr="002C59D5">
        <w:rPr>
          <w:bCs/>
        </w:rPr>
        <w:t>Immat</w:t>
      </w:r>
      <w:r w:rsidR="006F069A" w:rsidRPr="002C59D5">
        <w:rPr>
          <w:bCs/>
        </w:rPr>
        <w:t>e</w:t>
      </w:r>
      <w:r w:rsidR="006F069A" w:rsidRPr="002C59D5">
        <w:rPr>
          <w:bCs/>
        </w:rPr>
        <w:t>rialgütern, die massgeblich auf Innovation beruhen</w:t>
      </w:r>
      <w:r w:rsidR="007D2761">
        <w:rPr>
          <w:bCs/>
        </w:rPr>
        <w:t>,</w:t>
      </w:r>
      <w:r w:rsidR="006F069A" w:rsidRPr="002C59D5">
        <w:rPr>
          <w:bCs/>
        </w:rPr>
        <w:t xml:space="preserve"> reduziert besteuert, dies in Verbindung mit z.B. Standortbedingungen.</w:t>
      </w:r>
    </w:p>
    <w:p w:rsidR="006F069A" w:rsidRPr="002C59D5" w:rsidRDefault="006F069A">
      <w:pPr>
        <w:pStyle w:val="Textkrper3"/>
        <w:numPr>
          <w:ilvl w:val="12"/>
          <w:numId w:val="0"/>
        </w:numPr>
        <w:rPr>
          <w:bCs/>
        </w:rPr>
      </w:pPr>
    </w:p>
    <w:p w:rsidR="006F069A" w:rsidRPr="002C59D5" w:rsidRDefault="006F069A">
      <w:pPr>
        <w:pStyle w:val="Textkrper3"/>
        <w:numPr>
          <w:ilvl w:val="12"/>
          <w:numId w:val="0"/>
        </w:numPr>
        <w:rPr>
          <w:bCs/>
        </w:rPr>
      </w:pPr>
      <w:r w:rsidRPr="002C59D5">
        <w:rPr>
          <w:bCs/>
        </w:rPr>
        <w:t>Welches Modell schlussendlich zu tragen kommt</w:t>
      </w:r>
      <w:r w:rsidR="007D2761">
        <w:rPr>
          <w:bCs/>
        </w:rPr>
        <w:t>,</w:t>
      </w:r>
      <w:r w:rsidRPr="002C59D5">
        <w:rPr>
          <w:bCs/>
        </w:rPr>
        <w:t xml:space="preserve"> ist ebenso offen wie das definitive Inkrafttreten dieser Reform.</w:t>
      </w:r>
      <w:r w:rsidR="00E6032D" w:rsidRPr="002C59D5">
        <w:rPr>
          <w:bCs/>
        </w:rPr>
        <w:t xml:space="preserve"> </w:t>
      </w:r>
      <w:r w:rsidRPr="002C59D5">
        <w:rPr>
          <w:bCs/>
        </w:rPr>
        <w:t>In welchem Ausmass die Stadt Olten von dieser Reform betroffen sein wird</w:t>
      </w:r>
      <w:r w:rsidR="00AA7405">
        <w:rPr>
          <w:bCs/>
        </w:rPr>
        <w:t>,</w:t>
      </w:r>
      <w:r w:rsidRPr="002C59D5">
        <w:rPr>
          <w:bCs/>
        </w:rPr>
        <w:t xml:space="preserve"> ist also abhängig vom künftigen Modell und </w:t>
      </w:r>
      <w:r w:rsidR="00AA7405">
        <w:rPr>
          <w:bCs/>
        </w:rPr>
        <w:t>vom</w:t>
      </w:r>
      <w:r w:rsidR="00AA7405" w:rsidRPr="002C59D5">
        <w:rPr>
          <w:bCs/>
        </w:rPr>
        <w:t xml:space="preserve"> </w:t>
      </w:r>
      <w:r w:rsidRPr="002C59D5">
        <w:rPr>
          <w:bCs/>
        </w:rPr>
        <w:t>konkreten Umsetzungsplan. In vorliegendem F</w:t>
      </w:r>
      <w:r w:rsidRPr="002C59D5">
        <w:rPr>
          <w:bCs/>
        </w:rPr>
        <w:t>i</w:t>
      </w:r>
      <w:r w:rsidRPr="002C59D5">
        <w:rPr>
          <w:bCs/>
        </w:rPr>
        <w:t>nanzplan ist eine kommende Reform deshalb nicht berücksichtigt.</w:t>
      </w:r>
    </w:p>
    <w:p w:rsidR="00E6032D" w:rsidRPr="002C59D5" w:rsidRDefault="00E6032D">
      <w:pPr>
        <w:pStyle w:val="Textkrper3"/>
        <w:numPr>
          <w:ilvl w:val="12"/>
          <w:numId w:val="0"/>
        </w:numPr>
        <w:rPr>
          <w:bCs/>
        </w:rPr>
      </w:pPr>
    </w:p>
    <w:p w:rsidR="00E6032D" w:rsidRPr="002C59D5" w:rsidRDefault="00E6032D">
      <w:pPr>
        <w:pStyle w:val="Textkrper3"/>
        <w:numPr>
          <w:ilvl w:val="12"/>
          <w:numId w:val="0"/>
        </w:numPr>
        <w:rPr>
          <w:b/>
          <w:bCs/>
        </w:rPr>
      </w:pPr>
      <w:r w:rsidRPr="002C59D5">
        <w:rPr>
          <w:b/>
          <w:bCs/>
        </w:rPr>
        <w:t>9.2 Neuer Finanzausgleich</w:t>
      </w:r>
    </w:p>
    <w:p w:rsidR="00E6032D" w:rsidRPr="002C59D5" w:rsidRDefault="00E6032D">
      <w:pPr>
        <w:pStyle w:val="Textkrper3"/>
        <w:numPr>
          <w:ilvl w:val="12"/>
          <w:numId w:val="0"/>
        </w:numPr>
        <w:rPr>
          <w:b/>
          <w:bCs/>
        </w:rPr>
      </w:pPr>
    </w:p>
    <w:p w:rsidR="00E6032D" w:rsidRPr="002C59D5" w:rsidRDefault="00E6032D">
      <w:pPr>
        <w:pStyle w:val="Textkrper3"/>
        <w:numPr>
          <w:ilvl w:val="12"/>
          <w:numId w:val="0"/>
        </w:numPr>
        <w:rPr>
          <w:bCs/>
        </w:rPr>
      </w:pPr>
      <w:r w:rsidRPr="002C59D5">
        <w:rPr>
          <w:bCs/>
        </w:rPr>
        <w:t>Mit der Neugestaltung des NFA SO</w:t>
      </w:r>
      <w:r w:rsidR="00AA7405">
        <w:rPr>
          <w:bCs/>
        </w:rPr>
        <w:t>,</w:t>
      </w:r>
      <w:r w:rsidRPr="002C59D5">
        <w:rPr>
          <w:bCs/>
        </w:rPr>
        <w:t xml:space="preserve"> welcher per 2015 in Kraft treten soll</w:t>
      </w:r>
      <w:r w:rsidR="00AA7405">
        <w:rPr>
          <w:bCs/>
        </w:rPr>
        <w:t>,</w:t>
      </w:r>
      <w:r w:rsidRPr="002C59D5">
        <w:rPr>
          <w:bCs/>
        </w:rPr>
        <w:t xml:space="preserve"> muss die Stadt Olten auch beim Wegfall der bisherigen Steuereinnahmen der Alpiq</w:t>
      </w:r>
      <w:r w:rsidR="00982A8C">
        <w:rPr>
          <w:bCs/>
        </w:rPr>
        <w:t>,</w:t>
      </w:r>
      <w:r w:rsidRPr="002C59D5">
        <w:rPr>
          <w:bCs/>
        </w:rPr>
        <w:t xml:space="preserve"> mit zusätzlichen Kosten rechnen. Je nach Variantenentscheid bei</w:t>
      </w:r>
      <w:r w:rsidR="007D2761">
        <w:rPr>
          <w:bCs/>
        </w:rPr>
        <w:t>m</w:t>
      </w:r>
      <w:r w:rsidRPr="002C59D5">
        <w:rPr>
          <w:bCs/>
        </w:rPr>
        <w:t xml:space="preserve"> </w:t>
      </w:r>
      <w:r w:rsidR="00AA7405" w:rsidRPr="002C59D5">
        <w:rPr>
          <w:bCs/>
        </w:rPr>
        <w:t>vertikale</w:t>
      </w:r>
      <w:r w:rsidR="00AA7405">
        <w:rPr>
          <w:bCs/>
        </w:rPr>
        <w:t>n</w:t>
      </w:r>
      <w:r w:rsidR="00AA7405" w:rsidRPr="002C59D5">
        <w:rPr>
          <w:bCs/>
        </w:rPr>
        <w:t xml:space="preserve"> </w:t>
      </w:r>
      <w:r w:rsidRPr="002C59D5">
        <w:rPr>
          <w:bCs/>
        </w:rPr>
        <w:t xml:space="preserve">und </w:t>
      </w:r>
      <w:r w:rsidR="00AA7405" w:rsidRPr="002C59D5">
        <w:rPr>
          <w:bCs/>
        </w:rPr>
        <w:t>horizontale</w:t>
      </w:r>
      <w:r w:rsidR="00AA7405">
        <w:rPr>
          <w:bCs/>
        </w:rPr>
        <w:t>n</w:t>
      </w:r>
      <w:r w:rsidR="00AA7405" w:rsidRPr="002C59D5">
        <w:rPr>
          <w:bCs/>
        </w:rPr>
        <w:t xml:space="preserve"> </w:t>
      </w:r>
      <w:r w:rsidRPr="002C59D5">
        <w:rPr>
          <w:bCs/>
        </w:rPr>
        <w:t>Finanzausgleich sowie der Best</w:t>
      </w:r>
      <w:r w:rsidRPr="002C59D5">
        <w:rPr>
          <w:bCs/>
        </w:rPr>
        <w:t>ü</w:t>
      </w:r>
      <w:r w:rsidRPr="002C59D5">
        <w:rPr>
          <w:bCs/>
        </w:rPr>
        <w:t>ckung der Lastenausgleichsgefäs</w:t>
      </w:r>
      <w:r w:rsidR="007D2761">
        <w:rPr>
          <w:bCs/>
        </w:rPr>
        <w:t>s</w:t>
      </w:r>
      <w:r w:rsidRPr="002C59D5">
        <w:rPr>
          <w:bCs/>
        </w:rPr>
        <w:t>e wird die</w:t>
      </w:r>
      <w:r w:rsidR="009E1DB3" w:rsidRPr="002C59D5">
        <w:rPr>
          <w:bCs/>
        </w:rPr>
        <w:t xml:space="preserve"> Stadt Olten zusätzliche Beiträge zwischen 1.2 -1.9 Mio. Franken leisten müssen, bei einer Erholung der Steuererträge auf das Niveau der Jahre 2008 – 2010 werden es zwischen 8 – 10 Mio. Franken zusätzlich sein.</w:t>
      </w:r>
      <w:r w:rsidR="002C59D5">
        <w:rPr>
          <w:bCs/>
        </w:rPr>
        <w:t xml:space="preserve"> Im Finanzplan sind ab 2015 zusätzliche Mittel von 1.2</w:t>
      </w:r>
      <w:r w:rsidR="00AA7405">
        <w:rPr>
          <w:bCs/>
        </w:rPr>
        <w:t>5</w:t>
      </w:r>
      <w:r w:rsidR="002C59D5">
        <w:rPr>
          <w:bCs/>
        </w:rPr>
        <w:t xml:space="preserve"> Mio. Franken eingestellt.</w:t>
      </w:r>
    </w:p>
    <w:p w:rsidR="009E1DB3" w:rsidRPr="002C59D5" w:rsidRDefault="009E1DB3">
      <w:pPr>
        <w:pStyle w:val="Textkrper3"/>
        <w:numPr>
          <w:ilvl w:val="12"/>
          <w:numId w:val="0"/>
        </w:numPr>
        <w:rPr>
          <w:bCs/>
        </w:rPr>
      </w:pPr>
    </w:p>
    <w:p w:rsidR="009E1DB3" w:rsidRPr="002C59D5" w:rsidRDefault="009E1DB3">
      <w:pPr>
        <w:pStyle w:val="Textkrper3"/>
        <w:numPr>
          <w:ilvl w:val="12"/>
          <w:numId w:val="0"/>
        </w:numPr>
        <w:rPr>
          <w:b/>
          <w:bCs/>
        </w:rPr>
      </w:pPr>
      <w:r w:rsidRPr="002C59D5">
        <w:rPr>
          <w:b/>
          <w:bCs/>
        </w:rPr>
        <w:t>9.3 Verschlechterung des Ratings bei den Kapitalgebern</w:t>
      </w:r>
    </w:p>
    <w:p w:rsidR="009E1DB3" w:rsidRPr="002C59D5" w:rsidRDefault="009E1DB3">
      <w:pPr>
        <w:pStyle w:val="Textkrper3"/>
        <w:numPr>
          <w:ilvl w:val="12"/>
          <w:numId w:val="0"/>
        </w:numPr>
        <w:rPr>
          <w:bCs/>
        </w:rPr>
      </w:pPr>
    </w:p>
    <w:p w:rsidR="009E1DB3" w:rsidRDefault="00DD73CA">
      <w:pPr>
        <w:pStyle w:val="Textkrper3"/>
        <w:numPr>
          <w:ilvl w:val="12"/>
          <w:numId w:val="0"/>
        </w:numPr>
        <w:rPr>
          <w:bCs/>
        </w:rPr>
      </w:pPr>
      <w:r w:rsidRPr="002C59D5">
        <w:rPr>
          <w:bCs/>
        </w:rPr>
        <w:t>Zurzeit</w:t>
      </w:r>
      <w:r w:rsidR="009E1DB3" w:rsidRPr="002C59D5">
        <w:rPr>
          <w:bCs/>
        </w:rPr>
        <w:t xml:space="preserve"> kann die Stadt Olten immer noch zu sehr günstigen Konditionen Kapital aufnehmen. Wenn es nicht gelingt, die st</w:t>
      </w:r>
      <w:r w:rsidR="002C59D5">
        <w:rPr>
          <w:bCs/>
        </w:rPr>
        <w:t>rukturelle Überbelastung im Fin</w:t>
      </w:r>
      <w:r w:rsidR="009E1DB3" w:rsidRPr="002C59D5">
        <w:rPr>
          <w:bCs/>
        </w:rPr>
        <w:t>a</w:t>
      </w:r>
      <w:r w:rsidR="007D2761">
        <w:rPr>
          <w:bCs/>
        </w:rPr>
        <w:t>n</w:t>
      </w:r>
      <w:r w:rsidR="009E1DB3" w:rsidRPr="002C59D5">
        <w:rPr>
          <w:bCs/>
        </w:rPr>
        <w:t>zhaushalt zu beseitigen</w:t>
      </w:r>
      <w:r w:rsidR="007D2761">
        <w:rPr>
          <w:bCs/>
        </w:rPr>
        <w:t>,</w:t>
      </w:r>
      <w:r w:rsidR="009E1DB3" w:rsidRPr="002C59D5">
        <w:rPr>
          <w:bCs/>
        </w:rPr>
        <w:t xml:space="preserve"> ist eine Verschlechterung des Ratings bei den Kapitalgebern wahrscheinlich. Dies würde zu einer Erh</w:t>
      </w:r>
      <w:r w:rsidR="009E1DB3" w:rsidRPr="002C59D5">
        <w:rPr>
          <w:bCs/>
        </w:rPr>
        <w:t>ö</w:t>
      </w:r>
      <w:r w:rsidR="009E1DB3" w:rsidRPr="002C59D5">
        <w:rPr>
          <w:bCs/>
        </w:rPr>
        <w:t>hung des Passivzinsaufwandes führen</w:t>
      </w:r>
      <w:r w:rsidR="002C59D5">
        <w:rPr>
          <w:bCs/>
        </w:rPr>
        <w:t xml:space="preserve">, da nebst der benötigten Erhöhung des Kapitals auch mit </w:t>
      </w:r>
      <w:r w:rsidR="009E1DB3" w:rsidRPr="002C59D5">
        <w:rPr>
          <w:bCs/>
        </w:rPr>
        <w:t>höhere</w:t>
      </w:r>
      <w:r w:rsidR="002C59D5">
        <w:rPr>
          <w:bCs/>
        </w:rPr>
        <w:t>n</w:t>
      </w:r>
      <w:r w:rsidR="009E1DB3" w:rsidRPr="002C59D5">
        <w:rPr>
          <w:bCs/>
        </w:rPr>
        <w:t xml:space="preserve"> Refinanzierungskosten</w:t>
      </w:r>
      <w:r w:rsidR="002C59D5">
        <w:rPr>
          <w:bCs/>
        </w:rPr>
        <w:t xml:space="preserve"> zu rechnen ist.</w:t>
      </w:r>
    </w:p>
    <w:p w:rsidR="00812066" w:rsidRPr="002C59D5" w:rsidRDefault="00812066">
      <w:pPr>
        <w:pStyle w:val="Textkrper3"/>
        <w:numPr>
          <w:ilvl w:val="12"/>
          <w:numId w:val="0"/>
        </w:numPr>
        <w:rPr>
          <w:bCs/>
        </w:rPr>
      </w:pPr>
    </w:p>
    <w:p w:rsidR="00812066" w:rsidRPr="002C59D5" w:rsidRDefault="00812066">
      <w:pPr>
        <w:pStyle w:val="Textkrper3"/>
        <w:numPr>
          <w:ilvl w:val="12"/>
          <w:numId w:val="0"/>
        </w:numPr>
        <w:rPr>
          <w:b/>
          <w:bCs/>
        </w:rPr>
      </w:pPr>
      <w:r w:rsidRPr="002C59D5">
        <w:rPr>
          <w:b/>
          <w:bCs/>
        </w:rPr>
        <w:t>9.4 Einführung des Harmonisierten Rechnungsmodells 2 (HRM2)</w:t>
      </w:r>
    </w:p>
    <w:p w:rsidR="00812066" w:rsidRPr="002C59D5" w:rsidRDefault="00812066">
      <w:pPr>
        <w:pStyle w:val="Textkrper3"/>
        <w:numPr>
          <w:ilvl w:val="12"/>
          <w:numId w:val="0"/>
        </w:numPr>
        <w:rPr>
          <w:bCs/>
        </w:rPr>
      </w:pPr>
    </w:p>
    <w:p w:rsidR="00812066" w:rsidRDefault="008D5A81">
      <w:pPr>
        <w:pStyle w:val="Textkrper3"/>
        <w:numPr>
          <w:ilvl w:val="12"/>
          <w:numId w:val="0"/>
        </w:numPr>
        <w:rPr>
          <w:bCs/>
        </w:rPr>
      </w:pPr>
      <w:r w:rsidRPr="002C59D5">
        <w:rPr>
          <w:bCs/>
        </w:rPr>
        <w:lastRenderedPageBreak/>
        <w:t>Mit der Einführung von HRM2 ist bei der Umstellung das Finanzvermögen</w:t>
      </w:r>
      <w:r w:rsidR="00694C4F">
        <w:rPr>
          <w:bCs/>
        </w:rPr>
        <w:t xml:space="preserve"> mittels Restatement</w:t>
      </w:r>
      <w:r w:rsidRPr="002C59D5">
        <w:rPr>
          <w:bCs/>
        </w:rPr>
        <w:t xml:space="preserve"> zum Verkehrswert neu zu bewerten. Die Neubewertung ist nach Einführung periodisch zu wi</w:t>
      </w:r>
      <w:r w:rsidRPr="002C59D5">
        <w:rPr>
          <w:bCs/>
        </w:rPr>
        <w:t>e</w:t>
      </w:r>
      <w:r w:rsidRPr="002C59D5">
        <w:rPr>
          <w:bCs/>
        </w:rPr>
        <w:t>derholen. Ein aus der Neu</w:t>
      </w:r>
      <w:r w:rsidR="007D2761">
        <w:rPr>
          <w:bCs/>
        </w:rPr>
        <w:t>b</w:t>
      </w:r>
      <w:r w:rsidRPr="002C59D5">
        <w:rPr>
          <w:bCs/>
        </w:rPr>
        <w:t>ewertung erzielter Aufwertungsbetrag ist in der Eröffnungsbilanz als „Neubewertungsreserve“ unter dem Eigenkapital einzustellen. Erste Schätzungen ergeben für die Stadt Olten ein</w:t>
      </w:r>
      <w:r w:rsidR="002C483D" w:rsidRPr="002C59D5">
        <w:rPr>
          <w:bCs/>
        </w:rPr>
        <w:t>e Neubewertungsre</w:t>
      </w:r>
      <w:r w:rsidR="00694C4F">
        <w:rPr>
          <w:bCs/>
        </w:rPr>
        <w:t>serve von rund 21 Mio. Franken.</w:t>
      </w:r>
    </w:p>
    <w:p w:rsidR="009C10B8" w:rsidRDefault="009C10B8">
      <w:pPr>
        <w:pStyle w:val="Textkrper3"/>
        <w:numPr>
          <w:ilvl w:val="12"/>
          <w:numId w:val="0"/>
        </w:numPr>
        <w:rPr>
          <w:bCs/>
        </w:rPr>
      </w:pPr>
    </w:p>
    <w:p w:rsidR="00744277" w:rsidRDefault="00744277">
      <w:pPr>
        <w:pStyle w:val="Textkrper3"/>
        <w:numPr>
          <w:ilvl w:val="12"/>
          <w:numId w:val="0"/>
        </w:numPr>
        <w:rPr>
          <w:bCs/>
        </w:rPr>
      </w:pPr>
    </w:p>
    <w:p w:rsidR="00E336F9" w:rsidRDefault="00E336F9">
      <w:pPr>
        <w:pStyle w:val="Textkrper3"/>
        <w:numPr>
          <w:ilvl w:val="12"/>
          <w:numId w:val="0"/>
        </w:numPr>
        <w:rPr>
          <w:bCs/>
        </w:rPr>
      </w:pPr>
    </w:p>
    <w:p w:rsidR="00E336F9" w:rsidRPr="00E336F9" w:rsidRDefault="00E336F9">
      <w:pPr>
        <w:pStyle w:val="Textkrper3"/>
        <w:numPr>
          <w:ilvl w:val="12"/>
          <w:numId w:val="0"/>
        </w:numPr>
        <w:rPr>
          <w:b/>
          <w:bCs/>
        </w:rPr>
      </w:pPr>
      <w:r w:rsidRPr="00E336F9">
        <w:rPr>
          <w:b/>
          <w:bCs/>
        </w:rPr>
        <w:t xml:space="preserve">9.5 </w:t>
      </w:r>
      <w:r>
        <w:rPr>
          <w:b/>
          <w:bCs/>
        </w:rPr>
        <w:t>Ausfinanzierung der solothurnischen Pensionskasse</w:t>
      </w:r>
    </w:p>
    <w:p w:rsidR="00E336F9" w:rsidRDefault="00E336F9">
      <w:pPr>
        <w:pStyle w:val="Textkrper3"/>
        <w:numPr>
          <w:ilvl w:val="12"/>
          <w:numId w:val="0"/>
        </w:numPr>
        <w:rPr>
          <w:bCs/>
        </w:rPr>
      </w:pPr>
    </w:p>
    <w:p w:rsidR="00E336F9" w:rsidRDefault="00E336F9">
      <w:pPr>
        <w:pStyle w:val="Textkrper3"/>
        <w:numPr>
          <w:ilvl w:val="12"/>
          <w:numId w:val="0"/>
        </w:numPr>
        <w:rPr>
          <w:bCs/>
        </w:rPr>
      </w:pPr>
      <w:r>
        <w:rPr>
          <w:bCs/>
        </w:rPr>
        <w:t xml:space="preserve">Analog der Pensionskasse der Stadt Olten muss die kantonale Pensionskasse ebenfalls eine Anpassung an </w:t>
      </w:r>
      <w:r w:rsidR="006E0252">
        <w:rPr>
          <w:bCs/>
        </w:rPr>
        <w:t xml:space="preserve">neues </w:t>
      </w:r>
      <w:r>
        <w:rPr>
          <w:bCs/>
        </w:rPr>
        <w:t>Bundesrecht vornehmen. Der Regierungsrat wählt das System der Vollk</w:t>
      </w:r>
      <w:r>
        <w:rPr>
          <w:bCs/>
        </w:rPr>
        <w:t>a</w:t>
      </w:r>
      <w:r>
        <w:rPr>
          <w:bCs/>
        </w:rPr>
        <w:t xml:space="preserve">pitalisierung. Die Gemeinden sollen sich </w:t>
      </w:r>
      <w:r w:rsidR="00776671">
        <w:rPr>
          <w:bCs/>
        </w:rPr>
        <w:t>für ihr</w:t>
      </w:r>
      <w:r>
        <w:rPr>
          <w:bCs/>
        </w:rPr>
        <w:t xml:space="preserve"> Lehr</w:t>
      </w:r>
      <w:r w:rsidR="00776671">
        <w:rPr>
          <w:bCs/>
        </w:rPr>
        <w:t>personal</w:t>
      </w:r>
      <w:r>
        <w:rPr>
          <w:bCs/>
        </w:rPr>
        <w:t xml:space="preserve"> an den Kosten beteiligen. Der </w:t>
      </w:r>
      <w:r w:rsidR="006E0252">
        <w:rPr>
          <w:bCs/>
        </w:rPr>
        <w:t>Ve</w:t>
      </w:r>
      <w:r w:rsidR="006E0252">
        <w:rPr>
          <w:bCs/>
        </w:rPr>
        <w:t>r</w:t>
      </w:r>
      <w:r w:rsidR="006E0252">
        <w:rPr>
          <w:bCs/>
        </w:rPr>
        <w:t>band Solothurner Einwohnergemeinden (</w:t>
      </w:r>
      <w:r>
        <w:rPr>
          <w:bCs/>
        </w:rPr>
        <w:t>VSEG</w:t>
      </w:r>
      <w:r w:rsidR="006E0252">
        <w:rPr>
          <w:bCs/>
        </w:rPr>
        <w:t>)</w:t>
      </w:r>
      <w:r>
        <w:rPr>
          <w:bCs/>
        </w:rPr>
        <w:t xml:space="preserve"> hat das Vorhaben des Regierungsrates abg</w:t>
      </w:r>
      <w:r>
        <w:rPr>
          <w:bCs/>
        </w:rPr>
        <w:t>e</w:t>
      </w:r>
      <w:r>
        <w:rPr>
          <w:bCs/>
        </w:rPr>
        <w:t>lehnt und</w:t>
      </w:r>
      <w:r w:rsidR="00776671">
        <w:rPr>
          <w:bCs/>
        </w:rPr>
        <w:t xml:space="preserve"> beantragt eine vollständige Übernahme der Deckungslücke </w:t>
      </w:r>
      <w:r w:rsidR="006E0252">
        <w:rPr>
          <w:bCs/>
        </w:rPr>
        <w:t>durch</w:t>
      </w:r>
      <w:r w:rsidR="00776671">
        <w:rPr>
          <w:bCs/>
        </w:rPr>
        <w:t xml:space="preserve"> den Kanton.</w:t>
      </w:r>
      <w:r w:rsidR="006E0252">
        <w:rPr>
          <w:bCs/>
        </w:rPr>
        <w:t xml:space="preserve"> (wie dies z.B. im Kanton St. Gallen der Fall ist)</w:t>
      </w:r>
      <w:r w:rsidR="007D2761">
        <w:rPr>
          <w:bCs/>
        </w:rPr>
        <w:t>.</w:t>
      </w:r>
      <w:r w:rsidR="00776671">
        <w:rPr>
          <w:bCs/>
        </w:rPr>
        <w:t xml:space="preserve"> Das weitere Vorgehen ist offen.</w:t>
      </w:r>
    </w:p>
    <w:p w:rsidR="00776671" w:rsidRDefault="00776671">
      <w:pPr>
        <w:pStyle w:val="Textkrper3"/>
        <w:numPr>
          <w:ilvl w:val="12"/>
          <w:numId w:val="0"/>
        </w:numPr>
        <w:rPr>
          <w:bCs/>
        </w:rPr>
      </w:pPr>
    </w:p>
    <w:p w:rsidR="00776671" w:rsidRDefault="00776671">
      <w:pPr>
        <w:pStyle w:val="Textkrper3"/>
        <w:numPr>
          <w:ilvl w:val="12"/>
          <w:numId w:val="0"/>
        </w:numPr>
        <w:rPr>
          <w:bCs/>
        </w:rPr>
      </w:pPr>
      <w:r>
        <w:rPr>
          <w:bCs/>
        </w:rPr>
        <w:t>Für d</w:t>
      </w:r>
      <w:r w:rsidR="00AA7405">
        <w:rPr>
          <w:bCs/>
        </w:rPr>
        <w:t>i</w:t>
      </w:r>
      <w:r>
        <w:rPr>
          <w:bCs/>
        </w:rPr>
        <w:t xml:space="preserve">e Stadt Olten würde </w:t>
      </w:r>
      <w:r w:rsidR="00082341">
        <w:rPr>
          <w:bCs/>
        </w:rPr>
        <w:t>eine Übertragung der Ausfinanzierung auf die Gemeinden</w:t>
      </w:r>
      <w:r>
        <w:rPr>
          <w:bCs/>
        </w:rPr>
        <w:t xml:space="preserve"> zusät</w:t>
      </w:r>
      <w:r w:rsidR="00082341">
        <w:rPr>
          <w:bCs/>
        </w:rPr>
        <w:t>z</w:t>
      </w:r>
      <w:r>
        <w:rPr>
          <w:bCs/>
        </w:rPr>
        <w:t>liche Kosten von rund 25.1 Mio. Franken mit sich bringen, oder in jährlichen Annuitäten mit 3.5% ve</w:t>
      </w:r>
      <w:r>
        <w:rPr>
          <w:bCs/>
        </w:rPr>
        <w:t>r</w:t>
      </w:r>
      <w:r>
        <w:rPr>
          <w:bCs/>
        </w:rPr>
        <w:t xml:space="preserve">zinst </w:t>
      </w:r>
      <w:r w:rsidR="00082341">
        <w:rPr>
          <w:bCs/>
        </w:rPr>
        <w:t xml:space="preserve">und </w:t>
      </w:r>
      <w:r>
        <w:rPr>
          <w:bCs/>
        </w:rPr>
        <w:t xml:space="preserve">über die nächsten 40 Jahre </w:t>
      </w:r>
      <w:r w:rsidR="004C05EF">
        <w:rPr>
          <w:bCs/>
        </w:rPr>
        <w:t xml:space="preserve">ausgedrückt, </w:t>
      </w:r>
      <w:r w:rsidR="00082341">
        <w:rPr>
          <w:bCs/>
        </w:rPr>
        <w:t>laufend</w:t>
      </w:r>
      <w:r>
        <w:rPr>
          <w:bCs/>
        </w:rPr>
        <w:t xml:space="preserve"> wiederkehrende Kos</w:t>
      </w:r>
      <w:r w:rsidR="00082341">
        <w:rPr>
          <w:bCs/>
        </w:rPr>
        <w:t>ten von 1.2 Mio. Franken</w:t>
      </w:r>
      <w:r>
        <w:rPr>
          <w:bCs/>
        </w:rPr>
        <w:t xml:space="preserve">. </w:t>
      </w:r>
    </w:p>
    <w:p w:rsidR="00776671" w:rsidRDefault="00776671">
      <w:pPr>
        <w:pStyle w:val="Textkrper3"/>
        <w:numPr>
          <w:ilvl w:val="12"/>
          <w:numId w:val="0"/>
        </w:numPr>
        <w:rPr>
          <w:bCs/>
        </w:rPr>
      </w:pPr>
    </w:p>
    <w:p w:rsidR="00A82500" w:rsidRDefault="00812066">
      <w:pPr>
        <w:numPr>
          <w:ilvl w:val="12"/>
          <w:numId w:val="0"/>
        </w:numPr>
        <w:jc w:val="both"/>
        <w:rPr>
          <w:rFonts w:ascii="Arial" w:hAnsi="Arial" w:cs="Arial"/>
          <w:b/>
          <w:sz w:val="22"/>
        </w:rPr>
      </w:pPr>
      <w:r>
        <w:rPr>
          <w:rFonts w:ascii="Arial" w:hAnsi="Arial" w:cs="Arial"/>
          <w:b/>
          <w:sz w:val="22"/>
        </w:rPr>
        <w:t>10</w:t>
      </w:r>
      <w:r w:rsidR="00A82500">
        <w:rPr>
          <w:rFonts w:ascii="Arial" w:hAnsi="Arial" w:cs="Arial"/>
          <w:b/>
          <w:sz w:val="22"/>
        </w:rPr>
        <w:t>.  Schlussfolgerungen</w:t>
      </w:r>
    </w:p>
    <w:p w:rsidR="00A82500" w:rsidRDefault="00A82500">
      <w:pPr>
        <w:pStyle w:val="Textkrper3"/>
        <w:ind w:left="426"/>
      </w:pPr>
    </w:p>
    <w:p w:rsidR="00CF08ED" w:rsidRDefault="00FB4AA2">
      <w:pPr>
        <w:pStyle w:val="Textkrper3"/>
        <w:numPr>
          <w:ilvl w:val="12"/>
          <w:numId w:val="0"/>
        </w:numPr>
      </w:pPr>
      <w:r>
        <w:t xml:space="preserve">Aufgrund der massiven Steuerausfälle und des stark fremdbestimmten Haushalts wird die Stadt kurz bis mittelfristig nicht auf eine Steuererhöhung verzichten können. Gleichzeitig muss das in Angriff genommene Entlastungspaket </w:t>
      </w:r>
      <w:r w:rsidR="00DD73CA">
        <w:t>kontinuierlich</w:t>
      </w:r>
      <w:r>
        <w:t xml:space="preserve"> vorangetrieben und umgesetzt werden.</w:t>
      </w:r>
      <w:r w:rsidR="002C59D5">
        <w:t xml:space="preserve"> Als Sofortmassnahme müssen die laufenden, liquiditätswirksamen </w:t>
      </w:r>
      <w:r w:rsidR="004A74B0">
        <w:t>Aufwände</w:t>
      </w:r>
      <w:r w:rsidR="002C59D5">
        <w:t xml:space="preserve"> durch den Steuere</w:t>
      </w:r>
      <w:r w:rsidR="002C59D5">
        <w:t>r</w:t>
      </w:r>
      <w:r w:rsidR="002C59D5">
        <w:t>trag gedeckt werden können.</w:t>
      </w:r>
    </w:p>
    <w:p w:rsidR="00FB4AA2" w:rsidRDefault="00FB4AA2">
      <w:pPr>
        <w:pStyle w:val="Textkrper3"/>
        <w:numPr>
          <w:ilvl w:val="12"/>
          <w:numId w:val="0"/>
        </w:numPr>
      </w:pPr>
    </w:p>
    <w:p w:rsidR="00FB4AA2" w:rsidRDefault="00FB4AA2">
      <w:pPr>
        <w:pStyle w:val="Textkrper3"/>
        <w:numPr>
          <w:ilvl w:val="12"/>
          <w:numId w:val="0"/>
        </w:numPr>
      </w:pPr>
      <w:r>
        <w:t>Gleichzeitig sind die sich anbahnenden Tendenzen wie Unternehmenssteuerreform III sowie neuer Finanzausgleich nicht aus den Augen zu verlieren.</w:t>
      </w:r>
    </w:p>
    <w:p w:rsidR="00FB4AA2" w:rsidRDefault="00FB4AA2">
      <w:pPr>
        <w:pStyle w:val="Textkrper3"/>
        <w:numPr>
          <w:ilvl w:val="12"/>
          <w:numId w:val="0"/>
        </w:numPr>
      </w:pPr>
    </w:p>
    <w:p w:rsidR="00FB4AA2" w:rsidRDefault="00FB4AA2">
      <w:pPr>
        <w:pStyle w:val="Textkrper3"/>
        <w:numPr>
          <w:ilvl w:val="12"/>
          <w:numId w:val="0"/>
        </w:numPr>
      </w:pPr>
      <w:r>
        <w:t>Sollte weder Steuererhöhung noch Entlastungspaket erfüllt werden können</w:t>
      </w:r>
      <w:r w:rsidR="007D2761">
        <w:t xml:space="preserve">, </w:t>
      </w:r>
      <w:r>
        <w:t>werden Ende</w:t>
      </w:r>
      <w:r w:rsidR="007D2761">
        <w:t xml:space="preserve"> 2015 die kritischen </w:t>
      </w:r>
      <w:r w:rsidR="0051216C">
        <w:t>Faktoren</w:t>
      </w:r>
      <w:r w:rsidR="007D2761">
        <w:t xml:space="preserve"> wie</w:t>
      </w:r>
      <w:r>
        <w:t xml:space="preserve"> Verschuldung pro Kopf, Eigenkapital und Zinsbelastung derart a</w:t>
      </w:r>
      <w:r>
        <w:t>n</w:t>
      </w:r>
      <w:r>
        <w:t>steigen</w:t>
      </w:r>
      <w:r w:rsidR="007D2761">
        <w:t>,</w:t>
      </w:r>
      <w:r>
        <w:t xml:space="preserve"> dass eine </w:t>
      </w:r>
      <w:r w:rsidR="0051216C">
        <w:t>Intervention</w:t>
      </w:r>
      <w:r>
        <w:t xml:space="preserve"> durch den Kanton die Folge sein wird.</w:t>
      </w:r>
    </w:p>
    <w:p w:rsidR="00FB4AA2" w:rsidRDefault="00FB4AA2">
      <w:pPr>
        <w:pStyle w:val="Textkrper3"/>
        <w:numPr>
          <w:ilvl w:val="12"/>
          <w:numId w:val="0"/>
        </w:numPr>
      </w:pPr>
    </w:p>
    <w:p w:rsidR="00FB4AA2" w:rsidRDefault="00FB4AA2">
      <w:pPr>
        <w:pStyle w:val="Textkrper3"/>
        <w:numPr>
          <w:ilvl w:val="12"/>
          <w:numId w:val="0"/>
        </w:numPr>
      </w:pPr>
    </w:p>
    <w:p w:rsidR="008734BC" w:rsidRDefault="008734BC">
      <w:pPr>
        <w:pStyle w:val="Textkrper3"/>
        <w:numPr>
          <w:ilvl w:val="12"/>
          <w:numId w:val="0"/>
        </w:numPr>
        <w:rPr>
          <w:highlight w:val="yellow"/>
        </w:rPr>
      </w:pPr>
    </w:p>
    <w:p w:rsidR="008734BC" w:rsidRDefault="008734BC">
      <w:pPr>
        <w:pStyle w:val="Textkrper3"/>
        <w:numPr>
          <w:ilvl w:val="12"/>
          <w:numId w:val="0"/>
        </w:numPr>
        <w:rPr>
          <w:highlight w:val="yellow"/>
        </w:rPr>
      </w:pPr>
    </w:p>
    <w:p w:rsidR="00A82500" w:rsidRDefault="00A82500">
      <w:pPr>
        <w:jc w:val="center"/>
        <w:rPr>
          <w:rFonts w:ascii="Arial" w:hAnsi="Arial" w:cs="Arial"/>
          <w:sz w:val="22"/>
          <w:u w:val="single"/>
        </w:rPr>
      </w:pPr>
      <w:r>
        <w:rPr>
          <w:rFonts w:ascii="Arial" w:hAnsi="Arial" w:cs="Arial"/>
          <w:sz w:val="22"/>
          <w:u w:val="single"/>
        </w:rPr>
        <w:t>Beschlussesantrag</w:t>
      </w:r>
    </w:p>
    <w:p w:rsidR="00A82500" w:rsidRDefault="00A82500">
      <w:pPr>
        <w:jc w:val="both"/>
        <w:rPr>
          <w:rFonts w:ascii="Arial" w:hAnsi="Arial" w:cs="Arial"/>
          <w:sz w:val="22"/>
        </w:rPr>
      </w:pPr>
    </w:p>
    <w:p w:rsidR="00A82500" w:rsidRDefault="00A82500">
      <w:pPr>
        <w:jc w:val="both"/>
        <w:rPr>
          <w:rFonts w:ascii="Arial" w:hAnsi="Arial" w:cs="Arial"/>
          <w:sz w:val="22"/>
        </w:rPr>
      </w:pPr>
      <w:r>
        <w:rPr>
          <w:rFonts w:ascii="Arial" w:hAnsi="Arial" w:cs="Arial"/>
          <w:sz w:val="22"/>
        </w:rPr>
        <w:t xml:space="preserve">Der Investitions- und Finanzplan für die Periode </w:t>
      </w:r>
      <w:r w:rsidR="002F28F5">
        <w:rPr>
          <w:rFonts w:ascii="Arial" w:hAnsi="Arial" w:cs="Arial"/>
          <w:sz w:val="22"/>
        </w:rPr>
        <w:t>201</w:t>
      </w:r>
      <w:r w:rsidR="00FB4AA2">
        <w:rPr>
          <w:rFonts w:ascii="Arial" w:hAnsi="Arial" w:cs="Arial"/>
          <w:sz w:val="22"/>
        </w:rPr>
        <w:t>4</w:t>
      </w:r>
      <w:r>
        <w:rPr>
          <w:rFonts w:ascii="Arial" w:hAnsi="Arial" w:cs="Arial"/>
          <w:sz w:val="22"/>
        </w:rPr>
        <w:t xml:space="preserve"> - 20</w:t>
      </w:r>
      <w:r w:rsidR="00FB4AA2">
        <w:rPr>
          <w:rFonts w:ascii="Arial" w:hAnsi="Arial" w:cs="Arial"/>
          <w:sz w:val="22"/>
        </w:rPr>
        <w:t>20</w:t>
      </w:r>
      <w:r>
        <w:rPr>
          <w:rFonts w:ascii="Arial" w:hAnsi="Arial" w:cs="Arial"/>
          <w:sz w:val="22"/>
        </w:rPr>
        <w:t xml:space="preserve"> wird mit dem aktuellen Planung</w:t>
      </w:r>
      <w:r>
        <w:rPr>
          <w:rFonts w:ascii="Arial" w:hAnsi="Arial" w:cs="Arial"/>
          <w:sz w:val="22"/>
        </w:rPr>
        <w:t>s</w:t>
      </w:r>
      <w:r>
        <w:rPr>
          <w:rFonts w:ascii="Arial" w:hAnsi="Arial" w:cs="Arial"/>
          <w:sz w:val="22"/>
        </w:rPr>
        <w:t>stand zur Kenntnis genommen.</w:t>
      </w:r>
    </w:p>
    <w:p w:rsidR="00A82500" w:rsidRDefault="00A82500">
      <w:pPr>
        <w:jc w:val="both"/>
        <w:rPr>
          <w:rFonts w:ascii="Arial" w:hAnsi="Arial" w:cs="Arial"/>
          <w:sz w:val="22"/>
        </w:rPr>
      </w:pPr>
    </w:p>
    <w:p w:rsidR="00485783" w:rsidRDefault="00485783">
      <w:pPr>
        <w:jc w:val="both"/>
        <w:rPr>
          <w:rFonts w:ascii="Arial" w:hAnsi="Arial" w:cs="Arial"/>
          <w:sz w:val="22"/>
        </w:rPr>
      </w:pPr>
    </w:p>
    <w:p w:rsidR="00485783" w:rsidRDefault="00485783">
      <w:pPr>
        <w:jc w:val="both"/>
        <w:rPr>
          <w:rFonts w:ascii="Arial" w:hAnsi="Arial" w:cs="Arial"/>
          <w:sz w:val="22"/>
        </w:rPr>
      </w:pPr>
    </w:p>
    <w:p w:rsidR="00A82500" w:rsidRDefault="00A82500">
      <w:pPr>
        <w:tabs>
          <w:tab w:val="left" w:pos="3686"/>
        </w:tabs>
        <w:jc w:val="both"/>
        <w:rPr>
          <w:rFonts w:ascii="Arial" w:hAnsi="Arial" w:cs="Arial"/>
          <w:sz w:val="22"/>
        </w:rPr>
      </w:pPr>
      <w:r>
        <w:rPr>
          <w:rFonts w:ascii="Arial" w:hAnsi="Arial" w:cs="Arial"/>
          <w:sz w:val="22"/>
        </w:rPr>
        <w:tab/>
        <w:t>NAMENS DES STADTRATES VON OLTEN</w:t>
      </w:r>
    </w:p>
    <w:p w:rsidR="00A82500" w:rsidRDefault="00A82500">
      <w:pPr>
        <w:tabs>
          <w:tab w:val="left" w:pos="3686"/>
        </w:tabs>
        <w:jc w:val="both"/>
        <w:rPr>
          <w:rFonts w:ascii="Arial" w:hAnsi="Arial" w:cs="Arial"/>
          <w:sz w:val="22"/>
        </w:rPr>
      </w:pPr>
    </w:p>
    <w:p w:rsidR="00A82500" w:rsidRDefault="00A82500">
      <w:pPr>
        <w:tabs>
          <w:tab w:val="left" w:pos="3686"/>
        </w:tabs>
        <w:jc w:val="both"/>
        <w:rPr>
          <w:rFonts w:ascii="Arial" w:hAnsi="Arial" w:cs="Arial"/>
          <w:sz w:val="22"/>
        </w:rPr>
      </w:pPr>
    </w:p>
    <w:p w:rsidR="00A82500" w:rsidRDefault="00A82500">
      <w:pPr>
        <w:tabs>
          <w:tab w:val="left" w:pos="3402"/>
          <w:tab w:val="left" w:pos="6804"/>
        </w:tabs>
        <w:jc w:val="both"/>
        <w:rPr>
          <w:rFonts w:ascii="Arial" w:hAnsi="Arial" w:cs="Arial"/>
          <w:sz w:val="22"/>
        </w:rPr>
      </w:pPr>
      <w:r>
        <w:rPr>
          <w:rFonts w:ascii="Arial" w:hAnsi="Arial" w:cs="Arial"/>
          <w:sz w:val="22"/>
        </w:rPr>
        <w:tab/>
        <w:t>Der Stadtpräsident:</w:t>
      </w:r>
      <w:r>
        <w:rPr>
          <w:rFonts w:ascii="Arial" w:hAnsi="Arial" w:cs="Arial"/>
          <w:sz w:val="22"/>
        </w:rPr>
        <w:tab/>
        <w:t>Der Stadtschreiber:</w:t>
      </w:r>
    </w:p>
    <w:p w:rsidR="00A82500" w:rsidRDefault="00A82500">
      <w:pPr>
        <w:tabs>
          <w:tab w:val="left" w:pos="3402"/>
          <w:tab w:val="left" w:pos="6804"/>
        </w:tabs>
        <w:jc w:val="both"/>
        <w:rPr>
          <w:rFonts w:ascii="Arial" w:hAnsi="Arial" w:cs="Arial"/>
          <w:sz w:val="22"/>
        </w:rPr>
      </w:pPr>
    </w:p>
    <w:p w:rsidR="00A82500" w:rsidRDefault="00A82500">
      <w:pPr>
        <w:tabs>
          <w:tab w:val="left" w:pos="3402"/>
          <w:tab w:val="left" w:pos="6804"/>
        </w:tabs>
        <w:jc w:val="both"/>
        <w:rPr>
          <w:rFonts w:ascii="Arial" w:hAnsi="Arial" w:cs="Arial"/>
          <w:sz w:val="22"/>
        </w:rPr>
      </w:pPr>
    </w:p>
    <w:p w:rsidR="00307F18" w:rsidRDefault="00307F18">
      <w:pPr>
        <w:tabs>
          <w:tab w:val="left" w:pos="3402"/>
          <w:tab w:val="left" w:pos="6804"/>
        </w:tabs>
        <w:jc w:val="both"/>
        <w:rPr>
          <w:rFonts w:ascii="Arial" w:hAnsi="Arial" w:cs="Arial"/>
          <w:sz w:val="22"/>
        </w:rPr>
      </w:pPr>
    </w:p>
    <w:p w:rsidR="00307F18" w:rsidRDefault="00307F18">
      <w:pPr>
        <w:tabs>
          <w:tab w:val="left" w:pos="3402"/>
          <w:tab w:val="left" w:pos="6804"/>
        </w:tabs>
        <w:jc w:val="both"/>
        <w:rPr>
          <w:rFonts w:ascii="Arial" w:hAnsi="Arial" w:cs="Arial"/>
          <w:sz w:val="22"/>
        </w:rPr>
      </w:pPr>
    </w:p>
    <w:p w:rsidR="00A82500" w:rsidRDefault="00A82500">
      <w:pPr>
        <w:tabs>
          <w:tab w:val="left" w:pos="3403"/>
          <w:tab w:val="left" w:pos="6804"/>
        </w:tabs>
        <w:jc w:val="both"/>
        <w:rPr>
          <w:rFonts w:ascii="Arial" w:hAnsi="Arial" w:cs="Arial"/>
          <w:sz w:val="22"/>
        </w:rPr>
      </w:pPr>
      <w:r>
        <w:rPr>
          <w:rFonts w:ascii="Arial" w:hAnsi="Arial" w:cs="Arial"/>
          <w:sz w:val="22"/>
        </w:rPr>
        <w:tab/>
      </w:r>
      <w:r w:rsidR="00976AF8">
        <w:rPr>
          <w:rFonts w:ascii="Arial" w:hAnsi="Arial" w:cs="Arial"/>
          <w:sz w:val="22"/>
        </w:rPr>
        <w:t>Dr. Martin</w:t>
      </w:r>
      <w:r w:rsidR="005E3437">
        <w:rPr>
          <w:rFonts w:ascii="Arial" w:hAnsi="Arial" w:cs="Arial"/>
          <w:sz w:val="22"/>
        </w:rPr>
        <w:t xml:space="preserve"> Wey</w:t>
      </w:r>
      <w:r>
        <w:rPr>
          <w:rFonts w:ascii="Arial" w:hAnsi="Arial" w:cs="Arial"/>
          <w:sz w:val="22"/>
        </w:rPr>
        <w:tab/>
        <w:t>Markus Dietler</w:t>
      </w:r>
    </w:p>
    <w:p w:rsidR="00A82500" w:rsidRDefault="00A82500">
      <w:pPr>
        <w:jc w:val="both"/>
        <w:rPr>
          <w:rFonts w:ascii="Arial" w:hAnsi="Arial" w:cs="Arial"/>
          <w:sz w:val="22"/>
        </w:rPr>
      </w:pPr>
    </w:p>
    <w:p w:rsidR="00166E9A" w:rsidRDefault="00166E9A">
      <w:pPr>
        <w:jc w:val="both"/>
        <w:rPr>
          <w:rFonts w:ascii="Arial" w:hAnsi="Arial" w:cs="Arial"/>
          <w:sz w:val="22"/>
        </w:rPr>
      </w:pPr>
    </w:p>
    <w:p w:rsidR="00166E9A" w:rsidRDefault="00166E9A">
      <w:pPr>
        <w:jc w:val="both"/>
        <w:rPr>
          <w:rFonts w:ascii="Arial" w:hAnsi="Arial" w:cs="Arial"/>
          <w:sz w:val="22"/>
        </w:rPr>
      </w:pPr>
    </w:p>
    <w:p w:rsidR="005713FF" w:rsidRDefault="005713FF">
      <w:pPr>
        <w:jc w:val="both"/>
        <w:rPr>
          <w:rFonts w:ascii="Arial" w:hAnsi="Arial" w:cs="Arial"/>
          <w:sz w:val="22"/>
        </w:rPr>
      </w:pPr>
    </w:p>
    <w:p w:rsidR="00744277" w:rsidRDefault="00744277">
      <w:pPr>
        <w:jc w:val="both"/>
        <w:rPr>
          <w:rFonts w:ascii="Arial" w:hAnsi="Arial" w:cs="Arial"/>
          <w:sz w:val="22"/>
        </w:rPr>
      </w:pPr>
    </w:p>
    <w:p w:rsidR="003B3ABA" w:rsidRDefault="003B3ABA">
      <w:pPr>
        <w:jc w:val="both"/>
        <w:rPr>
          <w:rFonts w:ascii="Arial" w:hAnsi="Arial" w:cs="Arial"/>
          <w:sz w:val="22"/>
        </w:rPr>
      </w:pPr>
    </w:p>
    <w:p w:rsidR="005713FF" w:rsidRDefault="005713FF">
      <w:pPr>
        <w:jc w:val="both"/>
        <w:rPr>
          <w:rFonts w:ascii="Arial" w:hAnsi="Arial" w:cs="Arial"/>
          <w:sz w:val="22"/>
        </w:rPr>
      </w:pPr>
    </w:p>
    <w:p w:rsidR="00F41D28" w:rsidRDefault="00F41D28">
      <w:pPr>
        <w:jc w:val="both"/>
        <w:rPr>
          <w:rFonts w:ascii="Arial" w:hAnsi="Arial" w:cs="Arial"/>
          <w:sz w:val="22"/>
        </w:rPr>
      </w:pPr>
    </w:p>
    <w:p w:rsidR="00A82500" w:rsidRDefault="00A82500">
      <w:pPr>
        <w:jc w:val="both"/>
        <w:rPr>
          <w:rFonts w:ascii="Arial" w:hAnsi="Arial" w:cs="Arial"/>
          <w:sz w:val="22"/>
        </w:rPr>
      </w:pPr>
      <w:r>
        <w:rPr>
          <w:rFonts w:ascii="Arial" w:hAnsi="Arial" w:cs="Arial"/>
          <w:sz w:val="22"/>
        </w:rPr>
        <w:t>Mitteilung an:</w:t>
      </w:r>
    </w:p>
    <w:p w:rsidR="00A82500" w:rsidRDefault="00A82500">
      <w:pPr>
        <w:jc w:val="both"/>
        <w:rPr>
          <w:rFonts w:ascii="Arial" w:hAnsi="Arial" w:cs="Arial"/>
          <w:sz w:val="22"/>
        </w:rPr>
      </w:pPr>
      <w:r>
        <w:rPr>
          <w:rFonts w:ascii="Arial" w:hAnsi="Arial" w:cs="Arial"/>
          <w:sz w:val="22"/>
        </w:rPr>
        <w:t>Parlamentsakten (2)</w:t>
      </w:r>
    </w:p>
    <w:p w:rsidR="00A82500" w:rsidRDefault="00A82500">
      <w:pPr>
        <w:jc w:val="both"/>
        <w:rPr>
          <w:rFonts w:ascii="Arial" w:hAnsi="Arial" w:cs="Arial"/>
          <w:sz w:val="22"/>
        </w:rPr>
      </w:pPr>
      <w:r>
        <w:rPr>
          <w:rFonts w:ascii="Arial" w:hAnsi="Arial" w:cs="Arial"/>
          <w:sz w:val="22"/>
        </w:rPr>
        <w:t>Alle Direktionen</w:t>
      </w:r>
    </w:p>
    <w:p w:rsidR="00A82500" w:rsidRDefault="00A82500">
      <w:pPr>
        <w:jc w:val="both"/>
        <w:rPr>
          <w:rFonts w:ascii="Arial" w:hAnsi="Arial" w:cs="Arial"/>
          <w:sz w:val="22"/>
        </w:rPr>
      </w:pPr>
      <w:r>
        <w:rPr>
          <w:rFonts w:ascii="Arial" w:hAnsi="Arial" w:cs="Arial"/>
          <w:sz w:val="22"/>
        </w:rPr>
        <w:t>Direktion Finanzen und Informatik</w:t>
      </w:r>
    </w:p>
    <w:p w:rsidR="00A82500" w:rsidRDefault="00A82500">
      <w:pPr>
        <w:jc w:val="both"/>
        <w:rPr>
          <w:rFonts w:ascii="Arial" w:hAnsi="Arial" w:cs="Arial"/>
          <w:sz w:val="22"/>
        </w:rPr>
      </w:pPr>
      <w:r>
        <w:rPr>
          <w:rFonts w:ascii="Arial" w:hAnsi="Arial" w:cs="Arial"/>
          <w:sz w:val="22"/>
        </w:rPr>
        <w:t>Finanzverwaltung</w:t>
      </w:r>
    </w:p>
    <w:p w:rsidR="00A82500" w:rsidRDefault="00A82500">
      <w:pPr>
        <w:jc w:val="both"/>
        <w:rPr>
          <w:rFonts w:ascii="Arial" w:hAnsi="Arial" w:cs="Arial"/>
          <w:sz w:val="22"/>
        </w:rPr>
      </w:pPr>
      <w:r>
        <w:rPr>
          <w:rFonts w:ascii="Arial" w:hAnsi="Arial" w:cs="Arial"/>
          <w:sz w:val="22"/>
        </w:rPr>
        <w:t>Finanzkontrolle/Controlling</w:t>
      </w:r>
    </w:p>
    <w:p w:rsidR="00A82500" w:rsidRDefault="00A82500">
      <w:pPr>
        <w:jc w:val="both"/>
        <w:rPr>
          <w:rFonts w:ascii="Arial" w:hAnsi="Arial" w:cs="Arial"/>
          <w:sz w:val="22"/>
        </w:rPr>
      </w:pPr>
      <w:r>
        <w:rPr>
          <w:rFonts w:ascii="Arial" w:hAnsi="Arial" w:cs="Arial"/>
          <w:sz w:val="22"/>
        </w:rPr>
        <w:t>Kanzlei-Akten</w:t>
      </w:r>
    </w:p>
    <w:p w:rsidR="00A82500" w:rsidRDefault="00A82500">
      <w:pPr>
        <w:jc w:val="both"/>
        <w:rPr>
          <w:rFonts w:ascii="Arial" w:hAnsi="Arial" w:cs="Arial"/>
          <w:sz w:val="22"/>
        </w:rPr>
      </w:pPr>
    </w:p>
    <w:p w:rsidR="00A82500" w:rsidRDefault="00A82500">
      <w:pPr>
        <w:jc w:val="both"/>
        <w:rPr>
          <w:rFonts w:ascii="Arial" w:hAnsi="Arial" w:cs="Arial"/>
          <w:sz w:val="22"/>
        </w:rPr>
      </w:pPr>
      <w:r>
        <w:rPr>
          <w:rFonts w:ascii="Arial" w:hAnsi="Arial" w:cs="Arial"/>
          <w:sz w:val="22"/>
        </w:rPr>
        <w:t xml:space="preserve">Olten, </w:t>
      </w:r>
      <w:r w:rsidR="00744277">
        <w:rPr>
          <w:rFonts w:ascii="Arial" w:hAnsi="Arial" w:cs="Arial"/>
          <w:sz w:val="22"/>
        </w:rPr>
        <w:t>2</w:t>
      </w:r>
      <w:r w:rsidR="003B3ABA">
        <w:rPr>
          <w:rFonts w:ascii="Arial" w:hAnsi="Arial" w:cs="Arial"/>
          <w:sz w:val="22"/>
        </w:rPr>
        <w:t>8</w:t>
      </w:r>
      <w:r w:rsidR="00FB4AA2">
        <w:rPr>
          <w:rFonts w:ascii="Arial" w:hAnsi="Arial" w:cs="Arial"/>
          <w:sz w:val="22"/>
        </w:rPr>
        <w:t>. Oktober 2013</w:t>
      </w:r>
    </w:p>
    <w:sectPr w:rsidR="00A82500" w:rsidSect="00EA0F38">
      <w:footerReference w:type="even" r:id="rId8"/>
      <w:footerReference w:type="default" r:id="rId9"/>
      <w:footerReference w:type="first" r:id="rId10"/>
      <w:pgSz w:w="11906" w:h="16838"/>
      <w:pgMar w:top="1417" w:right="1090" w:bottom="1134" w:left="141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405" w:rsidRDefault="00AA7405">
      <w:r>
        <w:separator/>
      </w:r>
    </w:p>
  </w:endnote>
  <w:endnote w:type="continuationSeparator" w:id="0">
    <w:p w:rsidR="00AA7405" w:rsidRDefault="00AA7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wis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05" w:rsidRDefault="00097362">
    <w:pPr>
      <w:pStyle w:val="Fuzeile"/>
      <w:framePr w:wrap="around" w:vAnchor="text" w:hAnchor="margin" w:xAlign="right" w:y="1"/>
      <w:rPr>
        <w:rStyle w:val="Seitenzahl"/>
      </w:rPr>
    </w:pPr>
    <w:r>
      <w:rPr>
        <w:rStyle w:val="Seitenzahl"/>
      </w:rPr>
      <w:fldChar w:fldCharType="begin"/>
    </w:r>
    <w:r w:rsidR="00AA7405">
      <w:rPr>
        <w:rStyle w:val="Seitenzahl"/>
      </w:rPr>
      <w:instrText xml:space="preserve">PAGE  </w:instrText>
    </w:r>
    <w:r>
      <w:rPr>
        <w:rStyle w:val="Seitenzahl"/>
      </w:rPr>
      <w:fldChar w:fldCharType="end"/>
    </w:r>
  </w:p>
  <w:p w:rsidR="00AA7405" w:rsidRDefault="00AA7405">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384626"/>
      <w:docPartObj>
        <w:docPartGallery w:val="Page Numbers (Bottom of Page)"/>
        <w:docPartUnique/>
      </w:docPartObj>
    </w:sdtPr>
    <w:sdtContent>
      <w:p w:rsidR="00976AF8" w:rsidRDefault="00097362">
        <w:pPr>
          <w:pStyle w:val="Fuzeile"/>
          <w:jc w:val="right"/>
        </w:pPr>
        <w:r>
          <w:fldChar w:fldCharType="begin"/>
        </w:r>
        <w:r w:rsidR="00976AF8">
          <w:instrText xml:space="preserve"> PAGE   \* MERGEFORMAT </w:instrText>
        </w:r>
        <w:r>
          <w:fldChar w:fldCharType="separate"/>
        </w:r>
        <w:r w:rsidR="00391477">
          <w:rPr>
            <w:noProof/>
          </w:rPr>
          <w:t>13</w:t>
        </w:r>
        <w:r>
          <w:fldChar w:fldCharType="end"/>
        </w:r>
      </w:p>
    </w:sdtContent>
  </w:sdt>
  <w:p w:rsidR="00AA7405" w:rsidRDefault="00AA7405">
    <w:pPr>
      <w:pStyle w:val="Fuzeile"/>
      <w:tabs>
        <w:tab w:val="left" w:pos="7965"/>
        <w:tab w:val="right" w:pos="9041"/>
      </w:tabs>
      <w:ind w:right="36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05" w:rsidRDefault="00AA7405">
    <w:pPr>
      <w:pStyle w:val="Fuzeile"/>
      <w:ind w:right="327"/>
      <w:jc w:val="right"/>
      <w:rPr>
        <w:sz w:val="18"/>
      </w:rPr>
    </w:pPr>
    <w:r>
      <w:rPr>
        <w:rStyle w:val="Seitenzahl"/>
        <w:sz w:val="18"/>
      </w:rPr>
      <w:t xml:space="preserve"> Seite </w:t>
    </w:r>
    <w:r w:rsidR="00097362">
      <w:rPr>
        <w:rStyle w:val="Seitenzahl"/>
        <w:sz w:val="18"/>
      </w:rPr>
      <w:fldChar w:fldCharType="begin"/>
    </w:r>
    <w:r>
      <w:rPr>
        <w:rStyle w:val="Seitenzahl"/>
        <w:sz w:val="18"/>
      </w:rPr>
      <w:instrText xml:space="preserve"> PAGE </w:instrText>
    </w:r>
    <w:r w:rsidR="00097362">
      <w:rPr>
        <w:rStyle w:val="Seitenzahl"/>
        <w:sz w:val="18"/>
      </w:rPr>
      <w:fldChar w:fldCharType="separate"/>
    </w:r>
    <w:r w:rsidR="00391477">
      <w:rPr>
        <w:rStyle w:val="Seitenzahl"/>
        <w:noProof/>
        <w:sz w:val="18"/>
      </w:rPr>
      <w:t>1</w:t>
    </w:r>
    <w:r w:rsidR="00097362">
      <w:rPr>
        <w:rStyle w:val="Seitenzahl"/>
        <w:sz w:val="18"/>
      </w:rPr>
      <w:fldChar w:fldCharType="end"/>
    </w:r>
    <w:r>
      <w:rPr>
        <w:rStyle w:val="Seitenzahl"/>
        <w:sz w:val="18"/>
      </w:rPr>
      <w:t xml:space="preserve"> von 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405" w:rsidRDefault="00AA7405">
      <w:r>
        <w:separator/>
      </w:r>
    </w:p>
  </w:footnote>
  <w:footnote w:type="continuationSeparator" w:id="0">
    <w:p w:rsidR="00AA7405" w:rsidRDefault="00AA7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172"/>
    <w:multiLevelType w:val="hybridMultilevel"/>
    <w:tmpl w:val="8C0E55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294341"/>
    <w:multiLevelType w:val="hybridMultilevel"/>
    <w:tmpl w:val="BF5C9D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C7061F3"/>
    <w:multiLevelType w:val="multilevel"/>
    <w:tmpl w:val="DD9E8A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9B236E"/>
    <w:multiLevelType w:val="hybridMultilevel"/>
    <w:tmpl w:val="F716AC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2C340F88"/>
    <w:multiLevelType w:val="hybridMultilevel"/>
    <w:tmpl w:val="F7C4A3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4C64301"/>
    <w:multiLevelType w:val="hybridMultilevel"/>
    <w:tmpl w:val="3558DDDC"/>
    <w:lvl w:ilvl="0" w:tplc="0807000F">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nsid w:val="3D291A28"/>
    <w:multiLevelType w:val="hybridMultilevel"/>
    <w:tmpl w:val="367A3E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57812D65"/>
    <w:multiLevelType w:val="hybridMultilevel"/>
    <w:tmpl w:val="779C1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5A275075"/>
    <w:multiLevelType w:val="hybridMultilevel"/>
    <w:tmpl w:val="954AB94A"/>
    <w:lvl w:ilvl="0" w:tplc="CF9C0D9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5B466315"/>
    <w:multiLevelType w:val="hybridMultilevel"/>
    <w:tmpl w:val="DAB623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F0A3C86"/>
    <w:multiLevelType w:val="hybridMultilevel"/>
    <w:tmpl w:val="29FCFA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0F732A7"/>
    <w:multiLevelType w:val="hybridMultilevel"/>
    <w:tmpl w:val="DC2E8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10E7828"/>
    <w:multiLevelType w:val="hybridMultilevel"/>
    <w:tmpl w:val="DF5680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78FA6D72"/>
    <w:multiLevelType w:val="hybridMultilevel"/>
    <w:tmpl w:val="DCD46A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nsid w:val="79947D31"/>
    <w:multiLevelType w:val="multilevel"/>
    <w:tmpl w:val="D7AEEE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3"/>
  </w:num>
  <w:num w:numId="4">
    <w:abstractNumId w:val="4"/>
  </w:num>
  <w:num w:numId="5">
    <w:abstractNumId w:val="6"/>
  </w:num>
  <w:num w:numId="6">
    <w:abstractNumId w:val="11"/>
  </w:num>
  <w:num w:numId="7">
    <w:abstractNumId w:val="10"/>
  </w:num>
  <w:num w:numId="8">
    <w:abstractNumId w:val="9"/>
  </w:num>
  <w:num w:numId="9">
    <w:abstractNumId w:val="5"/>
  </w:num>
  <w:num w:numId="10">
    <w:abstractNumId w:val="12"/>
  </w:num>
  <w:num w:numId="11">
    <w:abstractNumId w:val="0"/>
  </w:num>
  <w:num w:numId="12">
    <w:abstractNumId w:val="3"/>
  </w:num>
  <w:num w:numId="13">
    <w:abstractNumId w:val="1"/>
  </w:num>
  <w:num w:numId="14">
    <w:abstractNumId w:val="8"/>
  </w:num>
  <w:num w:numId="15">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
  <w:rsids>
    <w:rsidRoot w:val="00E66E7D"/>
    <w:rsid w:val="000208E9"/>
    <w:rsid w:val="00031005"/>
    <w:rsid w:val="00036D24"/>
    <w:rsid w:val="00044A27"/>
    <w:rsid w:val="0007496B"/>
    <w:rsid w:val="00076409"/>
    <w:rsid w:val="00082341"/>
    <w:rsid w:val="00091D36"/>
    <w:rsid w:val="00096769"/>
    <w:rsid w:val="00097362"/>
    <w:rsid w:val="000A150E"/>
    <w:rsid w:val="000A275D"/>
    <w:rsid w:val="000C214A"/>
    <w:rsid w:val="000D6C88"/>
    <w:rsid w:val="000F1490"/>
    <w:rsid w:val="000F6879"/>
    <w:rsid w:val="0011020E"/>
    <w:rsid w:val="00125B50"/>
    <w:rsid w:val="001353EA"/>
    <w:rsid w:val="0016153C"/>
    <w:rsid w:val="00166E9A"/>
    <w:rsid w:val="001715B9"/>
    <w:rsid w:val="00180B6B"/>
    <w:rsid w:val="001943B6"/>
    <w:rsid w:val="001E64DB"/>
    <w:rsid w:val="001E64EB"/>
    <w:rsid w:val="001E6818"/>
    <w:rsid w:val="001E6BEA"/>
    <w:rsid w:val="001F20E3"/>
    <w:rsid w:val="002042E8"/>
    <w:rsid w:val="00207D79"/>
    <w:rsid w:val="002255EB"/>
    <w:rsid w:val="00227037"/>
    <w:rsid w:val="00245727"/>
    <w:rsid w:val="0025768D"/>
    <w:rsid w:val="00263863"/>
    <w:rsid w:val="00273904"/>
    <w:rsid w:val="002A6C9E"/>
    <w:rsid w:val="002B48CA"/>
    <w:rsid w:val="002C1EAD"/>
    <w:rsid w:val="002C483D"/>
    <w:rsid w:val="002C59D5"/>
    <w:rsid w:val="002F01E7"/>
    <w:rsid w:val="002F28F5"/>
    <w:rsid w:val="00306EFC"/>
    <w:rsid w:val="00307F18"/>
    <w:rsid w:val="00312948"/>
    <w:rsid w:val="00322903"/>
    <w:rsid w:val="00344C1A"/>
    <w:rsid w:val="00362990"/>
    <w:rsid w:val="00363065"/>
    <w:rsid w:val="00372EEF"/>
    <w:rsid w:val="00391477"/>
    <w:rsid w:val="003A0CD1"/>
    <w:rsid w:val="003A15F6"/>
    <w:rsid w:val="003A6FFD"/>
    <w:rsid w:val="003B3ABA"/>
    <w:rsid w:val="003D24A6"/>
    <w:rsid w:val="003D2875"/>
    <w:rsid w:val="003F5BC0"/>
    <w:rsid w:val="004021AA"/>
    <w:rsid w:val="0041119C"/>
    <w:rsid w:val="0042349A"/>
    <w:rsid w:val="00427838"/>
    <w:rsid w:val="00454101"/>
    <w:rsid w:val="00485065"/>
    <w:rsid w:val="00485783"/>
    <w:rsid w:val="00486BD0"/>
    <w:rsid w:val="00490DE1"/>
    <w:rsid w:val="004A74B0"/>
    <w:rsid w:val="004B1EB0"/>
    <w:rsid w:val="004C05EF"/>
    <w:rsid w:val="004D756D"/>
    <w:rsid w:val="004E673F"/>
    <w:rsid w:val="004F0DF3"/>
    <w:rsid w:val="00502F57"/>
    <w:rsid w:val="00506C70"/>
    <w:rsid w:val="0051216C"/>
    <w:rsid w:val="0052690A"/>
    <w:rsid w:val="005552EF"/>
    <w:rsid w:val="0056589A"/>
    <w:rsid w:val="005700AF"/>
    <w:rsid w:val="005713FF"/>
    <w:rsid w:val="00581649"/>
    <w:rsid w:val="00587150"/>
    <w:rsid w:val="005A138E"/>
    <w:rsid w:val="005E3437"/>
    <w:rsid w:val="005F1259"/>
    <w:rsid w:val="00634495"/>
    <w:rsid w:val="006402FA"/>
    <w:rsid w:val="00646B32"/>
    <w:rsid w:val="0065000D"/>
    <w:rsid w:val="006500AB"/>
    <w:rsid w:val="00694C4F"/>
    <w:rsid w:val="006A3C9B"/>
    <w:rsid w:val="006C04DC"/>
    <w:rsid w:val="006C1EEC"/>
    <w:rsid w:val="006C2B3B"/>
    <w:rsid w:val="006C4CD3"/>
    <w:rsid w:val="006D090B"/>
    <w:rsid w:val="006D4D59"/>
    <w:rsid w:val="006E0252"/>
    <w:rsid w:val="006F069A"/>
    <w:rsid w:val="006F33C8"/>
    <w:rsid w:val="007066CC"/>
    <w:rsid w:val="00712F97"/>
    <w:rsid w:val="0071646B"/>
    <w:rsid w:val="00727881"/>
    <w:rsid w:val="00741369"/>
    <w:rsid w:val="00744277"/>
    <w:rsid w:val="0075270D"/>
    <w:rsid w:val="00754DAF"/>
    <w:rsid w:val="00756C5D"/>
    <w:rsid w:val="00761BBA"/>
    <w:rsid w:val="00776671"/>
    <w:rsid w:val="00776AC2"/>
    <w:rsid w:val="00777B62"/>
    <w:rsid w:val="00777CEE"/>
    <w:rsid w:val="007839F4"/>
    <w:rsid w:val="00793AC4"/>
    <w:rsid w:val="007A047D"/>
    <w:rsid w:val="007A4B4B"/>
    <w:rsid w:val="007C01A3"/>
    <w:rsid w:val="007D2761"/>
    <w:rsid w:val="007E1414"/>
    <w:rsid w:val="007E4F5C"/>
    <w:rsid w:val="00812066"/>
    <w:rsid w:val="0081500D"/>
    <w:rsid w:val="008256C1"/>
    <w:rsid w:val="00830C9B"/>
    <w:rsid w:val="00842E9D"/>
    <w:rsid w:val="008461F9"/>
    <w:rsid w:val="008734BC"/>
    <w:rsid w:val="008A2B56"/>
    <w:rsid w:val="008B0AF3"/>
    <w:rsid w:val="008C6728"/>
    <w:rsid w:val="008D3233"/>
    <w:rsid w:val="008D5A81"/>
    <w:rsid w:val="008E5C01"/>
    <w:rsid w:val="008F0C31"/>
    <w:rsid w:val="00905E47"/>
    <w:rsid w:val="009151AB"/>
    <w:rsid w:val="00915448"/>
    <w:rsid w:val="00916DEB"/>
    <w:rsid w:val="00922A55"/>
    <w:rsid w:val="00936EA3"/>
    <w:rsid w:val="0094081A"/>
    <w:rsid w:val="00952A82"/>
    <w:rsid w:val="0097380E"/>
    <w:rsid w:val="00976AF8"/>
    <w:rsid w:val="00982A8C"/>
    <w:rsid w:val="00987A14"/>
    <w:rsid w:val="009A00AD"/>
    <w:rsid w:val="009A4718"/>
    <w:rsid w:val="009A616E"/>
    <w:rsid w:val="009B24CB"/>
    <w:rsid w:val="009B6A07"/>
    <w:rsid w:val="009C10B8"/>
    <w:rsid w:val="009C576B"/>
    <w:rsid w:val="009D268D"/>
    <w:rsid w:val="009E1DB3"/>
    <w:rsid w:val="009E7882"/>
    <w:rsid w:val="00A17F30"/>
    <w:rsid w:val="00A20A77"/>
    <w:rsid w:val="00A24601"/>
    <w:rsid w:val="00A40E20"/>
    <w:rsid w:val="00A809EC"/>
    <w:rsid w:val="00A82500"/>
    <w:rsid w:val="00A844FD"/>
    <w:rsid w:val="00A84FB2"/>
    <w:rsid w:val="00A86549"/>
    <w:rsid w:val="00A9207F"/>
    <w:rsid w:val="00A93255"/>
    <w:rsid w:val="00A9561F"/>
    <w:rsid w:val="00AA7405"/>
    <w:rsid w:val="00AC2C81"/>
    <w:rsid w:val="00AE02AE"/>
    <w:rsid w:val="00B01D77"/>
    <w:rsid w:val="00B05F7D"/>
    <w:rsid w:val="00B110DD"/>
    <w:rsid w:val="00B136F4"/>
    <w:rsid w:val="00B33CA2"/>
    <w:rsid w:val="00B370B7"/>
    <w:rsid w:val="00B52556"/>
    <w:rsid w:val="00B56C9D"/>
    <w:rsid w:val="00B6587A"/>
    <w:rsid w:val="00B66413"/>
    <w:rsid w:val="00B66A1C"/>
    <w:rsid w:val="00B75CDD"/>
    <w:rsid w:val="00B92E8C"/>
    <w:rsid w:val="00B97D92"/>
    <w:rsid w:val="00BA4075"/>
    <w:rsid w:val="00BA470B"/>
    <w:rsid w:val="00BA621A"/>
    <w:rsid w:val="00BB18DB"/>
    <w:rsid w:val="00BB1B85"/>
    <w:rsid w:val="00BD4CE1"/>
    <w:rsid w:val="00BF15F9"/>
    <w:rsid w:val="00BF596A"/>
    <w:rsid w:val="00C0329D"/>
    <w:rsid w:val="00C07B6A"/>
    <w:rsid w:val="00C17B6B"/>
    <w:rsid w:val="00C27523"/>
    <w:rsid w:val="00C577F9"/>
    <w:rsid w:val="00C966D4"/>
    <w:rsid w:val="00CA1FA1"/>
    <w:rsid w:val="00CC0CB4"/>
    <w:rsid w:val="00CD24E1"/>
    <w:rsid w:val="00CD53F5"/>
    <w:rsid w:val="00CE725F"/>
    <w:rsid w:val="00CF08ED"/>
    <w:rsid w:val="00CF674D"/>
    <w:rsid w:val="00D03F13"/>
    <w:rsid w:val="00D06957"/>
    <w:rsid w:val="00D25FC1"/>
    <w:rsid w:val="00D26897"/>
    <w:rsid w:val="00D36B9E"/>
    <w:rsid w:val="00D429D5"/>
    <w:rsid w:val="00D45320"/>
    <w:rsid w:val="00D4767C"/>
    <w:rsid w:val="00D47695"/>
    <w:rsid w:val="00D7675E"/>
    <w:rsid w:val="00D776D2"/>
    <w:rsid w:val="00D91D1A"/>
    <w:rsid w:val="00DC17A4"/>
    <w:rsid w:val="00DC518E"/>
    <w:rsid w:val="00DD73CA"/>
    <w:rsid w:val="00DE5E7B"/>
    <w:rsid w:val="00DE7099"/>
    <w:rsid w:val="00E21FC8"/>
    <w:rsid w:val="00E336F9"/>
    <w:rsid w:val="00E35C17"/>
    <w:rsid w:val="00E40D0A"/>
    <w:rsid w:val="00E55BA5"/>
    <w:rsid w:val="00E6032D"/>
    <w:rsid w:val="00E638F3"/>
    <w:rsid w:val="00E66E7D"/>
    <w:rsid w:val="00E816A8"/>
    <w:rsid w:val="00E860B6"/>
    <w:rsid w:val="00E92976"/>
    <w:rsid w:val="00EA0F38"/>
    <w:rsid w:val="00EB2B8B"/>
    <w:rsid w:val="00EC1C3B"/>
    <w:rsid w:val="00F13D9A"/>
    <w:rsid w:val="00F17BEF"/>
    <w:rsid w:val="00F2021A"/>
    <w:rsid w:val="00F21458"/>
    <w:rsid w:val="00F2386C"/>
    <w:rsid w:val="00F35E0B"/>
    <w:rsid w:val="00F41D28"/>
    <w:rsid w:val="00F45EB8"/>
    <w:rsid w:val="00F51BE6"/>
    <w:rsid w:val="00F548F4"/>
    <w:rsid w:val="00F55921"/>
    <w:rsid w:val="00F64612"/>
    <w:rsid w:val="00F75E66"/>
    <w:rsid w:val="00F8685D"/>
    <w:rsid w:val="00F93E42"/>
    <w:rsid w:val="00F945A6"/>
    <w:rsid w:val="00FA512E"/>
    <w:rsid w:val="00FB4AA2"/>
    <w:rsid w:val="00FC418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0F38"/>
    <w:pPr>
      <w:overflowPunct w:val="0"/>
      <w:autoSpaceDE w:val="0"/>
      <w:autoSpaceDN w:val="0"/>
      <w:adjustRightInd w:val="0"/>
      <w:textAlignment w:val="baseline"/>
    </w:pPr>
    <w:rPr>
      <w:rFonts w:ascii="Swiss" w:hAnsi="Swiss"/>
      <w:sz w:val="24"/>
      <w:lang w:val="de-DE" w:eastAsia="de-DE"/>
    </w:rPr>
  </w:style>
  <w:style w:type="paragraph" w:styleId="berschrift1">
    <w:name w:val="heading 1"/>
    <w:basedOn w:val="Standard"/>
    <w:next w:val="Standard"/>
    <w:qFormat/>
    <w:rsid w:val="00EA0F38"/>
    <w:pPr>
      <w:spacing w:before="240"/>
      <w:outlineLvl w:val="0"/>
    </w:pPr>
    <w:rPr>
      <w:rFonts w:ascii="Arial" w:hAnsi="Arial"/>
      <w:b/>
      <w:u w:val="single"/>
    </w:rPr>
  </w:style>
  <w:style w:type="paragraph" w:styleId="berschrift2">
    <w:name w:val="heading 2"/>
    <w:basedOn w:val="Standard"/>
    <w:next w:val="Standard"/>
    <w:qFormat/>
    <w:rsid w:val="00EA0F38"/>
    <w:pPr>
      <w:spacing w:before="120"/>
      <w:outlineLvl w:val="1"/>
    </w:pPr>
    <w:rPr>
      <w:rFonts w:ascii="Arial" w:hAnsi="Arial"/>
      <w:b/>
    </w:rPr>
  </w:style>
  <w:style w:type="paragraph" w:styleId="berschrift3">
    <w:name w:val="heading 3"/>
    <w:basedOn w:val="Standard"/>
    <w:next w:val="Standardeinzug"/>
    <w:qFormat/>
    <w:rsid w:val="00EA0F38"/>
    <w:pPr>
      <w:ind w:left="354"/>
      <w:outlineLvl w:val="2"/>
    </w:pPr>
    <w:rPr>
      <w:rFonts w:ascii="Times New Roman" w:hAnsi="Times New Roman"/>
      <w:b/>
    </w:rPr>
  </w:style>
  <w:style w:type="paragraph" w:styleId="berschrift4">
    <w:name w:val="heading 4"/>
    <w:basedOn w:val="Standard"/>
    <w:next w:val="Standardeinzug"/>
    <w:qFormat/>
    <w:rsid w:val="00EA0F38"/>
    <w:pPr>
      <w:ind w:left="354"/>
      <w:outlineLvl w:val="3"/>
    </w:pPr>
    <w:rPr>
      <w:rFonts w:ascii="Times New Roman" w:hAnsi="Times New Roman"/>
      <w:u w:val="single"/>
    </w:rPr>
  </w:style>
  <w:style w:type="paragraph" w:styleId="berschrift5">
    <w:name w:val="heading 5"/>
    <w:basedOn w:val="Standard"/>
    <w:next w:val="Standardeinzug"/>
    <w:qFormat/>
    <w:rsid w:val="00EA0F38"/>
    <w:pPr>
      <w:ind w:left="708"/>
      <w:outlineLvl w:val="4"/>
    </w:pPr>
    <w:rPr>
      <w:rFonts w:ascii="Times New Roman" w:hAnsi="Times New Roman"/>
      <w:b/>
      <w:sz w:val="20"/>
    </w:rPr>
  </w:style>
  <w:style w:type="paragraph" w:styleId="berschrift6">
    <w:name w:val="heading 6"/>
    <w:basedOn w:val="Standard"/>
    <w:next w:val="Standardeinzug"/>
    <w:qFormat/>
    <w:rsid w:val="00EA0F38"/>
    <w:pPr>
      <w:ind w:left="708"/>
      <w:outlineLvl w:val="5"/>
    </w:pPr>
    <w:rPr>
      <w:rFonts w:ascii="Times New Roman" w:hAnsi="Times New Roman"/>
      <w:sz w:val="20"/>
      <w:u w:val="single"/>
    </w:rPr>
  </w:style>
  <w:style w:type="paragraph" w:styleId="berschrift7">
    <w:name w:val="heading 7"/>
    <w:basedOn w:val="Standard"/>
    <w:next w:val="Standardeinzug"/>
    <w:qFormat/>
    <w:rsid w:val="00EA0F38"/>
    <w:pPr>
      <w:ind w:left="708"/>
      <w:outlineLvl w:val="6"/>
    </w:pPr>
    <w:rPr>
      <w:rFonts w:ascii="Times New Roman" w:hAnsi="Times New Roman"/>
      <w:i/>
      <w:sz w:val="20"/>
    </w:rPr>
  </w:style>
  <w:style w:type="paragraph" w:styleId="berschrift8">
    <w:name w:val="heading 8"/>
    <w:basedOn w:val="Standard"/>
    <w:next w:val="Standardeinzug"/>
    <w:qFormat/>
    <w:rsid w:val="00EA0F38"/>
    <w:pPr>
      <w:ind w:left="708"/>
      <w:outlineLvl w:val="7"/>
    </w:pPr>
    <w:rPr>
      <w:rFonts w:ascii="Times New Roman" w:hAnsi="Times New Roman"/>
      <w:i/>
      <w:sz w:val="20"/>
    </w:rPr>
  </w:style>
  <w:style w:type="paragraph" w:styleId="berschrift9">
    <w:name w:val="heading 9"/>
    <w:basedOn w:val="Standard"/>
    <w:next w:val="Standardeinzug"/>
    <w:qFormat/>
    <w:rsid w:val="00EA0F38"/>
    <w:pPr>
      <w:ind w:left="708"/>
      <w:outlineLvl w:val="8"/>
    </w:pPr>
    <w:rPr>
      <w:rFonts w:ascii="Times New Roman" w:hAnsi="Times New Roma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EA0F38"/>
    <w:pPr>
      <w:ind w:left="708"/>
    </w:pPr>
  </w:style>
  <w:style w:type="paragraph" w:styleId="Fuzeile">
    <w:name w:val="footer"/>
    <w:basedOn w:val="Standard"/>
    <w:link w:val="FuzeileZchn"/>
    <w:uiPriority w:val="99"/>
    <w:rsid w:val="00EA0F38"/>
    <w:pPr>
      <w:tabs>
        <w:tab w:val="center" w:pos="4819"/>
        <w:tab w:val="right" w:pos="9071"/>
      </w:tabs>
    </w:pPr>
  </w:style>
  <w:style w:type="paragraph" w:styleId="Kopfzeile">
    <w:name w:val="header"/>
    <w:basedOn w:val="Standard"/>
    <w:semiHidden/>
    <w:rsid w:val="00EA0F38"/>
    <w:pPr>
      <w:tabs>
        <w:tab w:val="center" w:pos="4819"/>
        <w:tab w:val="right" w:pos="9071"/>
      </w:tabs>
    </w:pPr>
  </w:style>
  <w:style w:type="character" w:styleId="Funotenzeichen">
    <w:name w:val="footnote reference"/>
    <w:semiHidden/>
    <w:rsid w:val="00EA0F38"/>
    <w:rPr>
      <w:position w:val="6"/>
      <w:sz w:val="16"/>
    </w:rPr>
  </w:style>
  <w:style w:type="paragraph" w:styleId="Funotentext">
    <w:name w:val="footnote text"/>
    <w:basedOn w:val="Standard"/>
    <w:semiHidden/>
    <w:rsid w:val="00EA0F38"/>
    <w:rPr>
      <w:sz w:val="20"/>
    </w:rPr>
  </w:style>
  <w:style w:type="paragraph" w:styleId="Textkrper">
    <w:name w:val="Body Text"/>
    <w:basedOn w:val="Standard"/>
    <w:semiHidden/>
    <w:rsid w:val="00EA0F38"/>
    <w:pPr>
      <w:jc w:val="both"/>
    </w:pPr>
    <w:rPr>
      <w:rFonts w:ascii="Times New Roman" w:hAnsi="Times New Roman"/>
    </w:rPr>
  </w:style>
  <w:style w:type="paragraph" w:styleId="Textkrper-Zeileneinzug">
    <w:name w:val="Body Text Indent"/>
    <w:basedOn w:val="Standard"/>
    <w:semiHidden/>
    <w:rsid w:val="00EA0F38"/>
    <w:pPr>
      <w:numPr>
        <w:ilvl w:val="12"/>
      </w:numPr>
      <w:ind w:left="283" w:hanging="283"/>
      <w:jc w:val="both"/>
    </w:pPr>
    <w:rPr>
      <w:rFonts w:ascii="Times New Roman" w:hAnsi="Times New Roman"/>
    </w:rPr>
  </w:style>
  <w:style w:type="paragraph" w:styleId="Textkrper-Einzug2">
    <w:name w:val="Body Text Indent 2"/>
    <w:basedOn w:val="Standard"/>
    <w:semiHidden/>
    <w:rsid w:val="00EA0F38"/>
    <w:pPr>
      <w:ind w:left="284"/>
      <w:jc w:val="both"/>
    </w:pPr>
    <w:rPr>
      <w:rFonts w:ascii="Times New Roman" w:hAnsi="Times New Roman"/>
    </w:rPr>
  </w:style>
  <w:style w:type="paragraph" w:styleId="Textkrper2">
    <w:name w:val="Body Text 2"/>
    <w:basedOn w:val="Standard"/>
    <w:semiHidden/>
    <w:rsid w:val="00EA0F38"/>
    <w:rPr>
      <w:rFonts w:ascii="Times New Roman" w:hAnsi="Times New Roman"/>
      <w:b/>
      <w:sz w:val="32"/>
    </w:rPr>
  </w:style>
  <w:style w:type="paragraph" w:styleId="Textkrper3">
    <w:name w:val="Body Text 3"/>
    <w:basedOn w:val="Standard"/>
    <w:semiHidden/>
    <w:rsid w:val="00EA0F38"/>
    <w:pPr>
      <w:jc w:val="both"/>
    </w:pPr>
    <w:rPr>
      <w:rFonts w:ascii="Arial" w:hAnsi="Arial" w:cs="Arial"/>
      <w:sz w:val="22"/>
    </w:rPr>
  </w:style>
  <w:style w:type="character" w:styleId="Seitenzahl">
    <w:name w:val="page number"/>
    <w:basedOn w:val="Absatz-Standardschriftart"/>
    <w:semiHidden/>
    <w:rsid w:val="00EA0F38"/>
  </w:style>
  <w:style w:type="paragraph" w:styleId="Textkrper-Einzug3">
    <w:name w:val="Body Text Indent 3"/>
    <w:basedOn w:val="Standard"/>
    <w:semiHidden/>
    <w:rsid w:val="00EA0F38"/>
    <w:pPr>
      <w:numPr>
        <w:ilvl w:val="12"/>
      </w:numPr>
      <w:ind w:left="283" w:hanging="283"/>
      <w:jc w:val="both"/>
    </w:pPr>
    <w:rPr>
      <w:rFonts w:ascii="Arial" w:hAnsi="Arial" w:cs="Arial"/>
      <w:bCs/>
      <w:sz w:val="22"/>
    </w:rPr>
  </w:style>
  <w:style w:type="table" w:customStyle="1" w:styleId="Tabellenraster">
    <w:name w:val="Tabellenraster"/>
    <w:basedOn w:val="NormaleTabelle"/>
    <w:uiPriority w:val="59"/>
    <w:rsid w:val="00B7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HelleSchattierung1">
    <w:name w:val="Helle Schattierung1"/>
    <w:basedOn w:val="NormaleTabelle"/>
    <w:uiPriority w:val="60"/>
    <w:rsid w:val="00B75C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ittlereListe11">
    <w:name w:val="Mittlere Liste 11"/>
    <w:basedOn w:val="NormaleTabelle"/>
    <w:uiPriority w:val="65"/>
    <w:rsid w:val="00B75C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HellesRaster1">
    <w:name w:val="Helles Raster1"/>
    <w:basedOn w:val="NormaleTabelle"/>
    <w:uiPriority w:val="62"/>
    <w:rsid w:val="00B75CD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ittlereSchattierung11">
    <w:name w:val="Mittlere Schattierung 11"/>
    <w:basedOn w:val="NormaleTabelle"/>
    <w:uiPriority w:val="63"/>
    <w:rsid w:val="00B75CDD"/>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ufzhlungszeichen">
    <w:name w:val="List Bullet"/>
    <w:basedOn w:val="Standard"/>
    <w:autoRedefine/>
    <w:semiHidden/>
    <w:rsid w:val="00486BD0"/>
    <w:pPr>
      <w:textAlignment w:val="auto"/>
    </w:pPr>
    <w:rPr>
      <w:rFonts w:ascii="Arial" w:hAnsi="Arial" w:cs="Arial"/>
      <w:b/>
      <w:sz w:val="22"/>
      <w:szCs w:val="24"/>
    </w:rPr>
  </w:style>
  <w:style w:type="paragraph" w:customStyle="1" w:styleId="Textkrper21">
    <w:name w:val="Textkörper 21"/>
    <w:basedOn w:val="Standard"/>
    <w:rsid w:val="00486BD0"/>
    <w:pPr>
      <w:jc w:val="both"/>
    </w:pPr>
    <w:rPr>
      <w:rFonts w:ascii="Arial" w:hAnsi="Arial"/>
      <w:sz w:val="22"/>
      <w:lang w:val="de-CH"/>
    </w:rPr>
  </w:style>
  <w:style w:type="paragraph" w:styleId="Listenabsatz">
    <w:name w:val="List Paragraph"/>
    <w:basedOn w:val="Standard"/>
    <w:uiPriority w:val="34"/>
    <w:qFormat/>
    <w:rsid w:val="00B110DD"/>
    <w:pPr>
      <w:ind w:left="708"/>
    </w:pPr>
  </w:style>
  <w:style w:type="table" w:styleId="Tabellengitternetz">
    <w:name w:val="Table Grid"/>
    <w:basedOn w:val="NormaleTabelle"/>
    <w:uiPriority w:val="59"/>
    <w:rsid w:val="00FA5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552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2EF"/>
    <w:rPr>
      <w:rFonts w:ascii="Tahoma" w:hAnsi="Tahoma" w:cs="Tahoma"/>
      <w:sz w:val="16"/>
      <w:szCs w:val="16"/>
      <w:lang w:val="de-DE" w:eastAsia="de-DE"/>
    </w:rPr>
  </w:style>
  <w:style w:type="character" w:customStyle="1" w:styleId="FuzeileZchn">
    <w:name w:val="Fußzeile Zchn"/>
    <w:basedOn w:val="Absatz-Standardschriftart"/>
    <w:link w:val="Fuzeile"/>
    <w:uiPriority w:val="99"/>
    <w:rsid w:val="00976AF8"/>
    <w:rPr>
      <w:rFonts w:ascii="Swiss" w:hAnsi="Swiss"/>
      <w:sz w:val="24"/>
      <w:lang w:val="de-DE" w:eastAsia="de-DE"/>
    </w:rPr>
  </w:style>
</w:styles>
</file>

<file path=word/webSettings.xml><?xml version="1.0" encoding="utf-8"?>
<w:webSettings xmlns:r="http://schemas.openxmlformats.org/officeDocument/2006/relationships" xmlns:w="http://schemas.openxmlformats.org/wordprocessingml/2006/main">
  <w:divs>
    <w:div w:id="395934046">
      <w:bodyDiv w:val="1"/>
      <w:marLeft w:val="0"/>
      <w:marRight w:val="0"/>
      <w:marTop w:val="0"/>
      <w:marBottom w:val="0"/>
      <w:divBdr>
        <w:top w:val="none" w:sz="0" w:space="0" w:color="auto"/>
        <w:left w:val="none" w:sz="0" w:space="0" w:color="auto"/>
        <w:bottom w:val="none" w:sz="0" w:space="0" w:color="auto"/>
        <w:right w:val="none" w:sz="0" w:space="0" w:color="auto"/>
      </w:divBdr>
    </w:div>
    <w:div w:id="4962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9A1F-F51D-47EE-93B5-C50C42D1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3844</Words>
  <Characters>26083</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Bericht und Antrag SR</vt:lpstr>
    </vt:vector>
  </TitlesOfParts>
  <Company/>
  <LinksUpToDate>false</LinksUpToDate>
  <CharactersWithSpaces>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und Antrag SR</dc:title>
  <dc:subject>an das Gemeindeparlament</dc:subject>
  <dc:creator>Gemeinde Olten</dc:creator>
  <cp:keywords/>
  <dc:description/>
  <cp:lastModifiedBy>Einwohnergemeinde</cp:lastModifiedBy>
  <cp:revision>2</cp:revision>
  <cp:lastPrinted>2013-10-24T06:46:00Z</cp:lastPrinted>
  <dcterms:created xsi:type="dcterms:W3CDTF">2013-10-29T10:36:00Z</dcterms:created>
  <dcterms:modified xsi:type="dcterms:W3CDTF">2013-10-29T10:36:00Z</dcterms:modified>
</cp:coreProperties>
</file>