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DB" w:rsidRDefault="00C43053">
      <w:pPr>
        <w:pStyle w:val="berschrift3"/>
        <w:tabs>
          <w:tab w:val="left" w:pos="11057"/>
        </w:tabs>
      </w:pPr>
      <w:r w:rsidRPr="00C43053">
        <w:rPr>
          <w:noProof/>
          <w:lang w:val="de-DE" w:eastAsia="en-US"/>
        </w:rPr>
        <w:pict>
          <v:shapetype id="_x0000_t202" coordsize="21600,21600" o:spt="202" path="m,l,21600r21600,l21600,xe">
            <v:stroke joinstyle="miter"/>
            <v:path gradientshapeok="t" o:connecttype="rect"/>
          </v:shapetype>
          <v:shape id="_x0000_s1026" type="#_x0000_t202" style="position:absolute;margin-left:656.65pt;margin-top:-21.6pt;width:57.45pt;height:19.45pt;z-index:251660288;mso-height-percent:200;mso-height-percent:200;mso-width-relative:margin;mso-height-relative:margin">
            <v:textbox style="mso-fit-shape-to-text:t">
              <w:txbxContent>
                <w:p w:rsidR="00943477" w:rsidRDefault="00943477">
                  <w:pPr>
                    <w:rPr>
                      <w:lang w:val="de-DE"/>
                    </w:rPr>
                  </w:pPr>
                  <w:r>
                    <w:rPr>
                      <w:lang w:val="de-DE"/>
                    </w:rPr>
                    <w:t>Beilage 3</w:t>
                  </w:r>
                </w:p>
              </w:txbxContent>
            </v:textbox>
          </v:shape>
        </w:pict>
      </w:r>
      <w:r w:rsidR="00F61DDB">
        <w:t>Statuten der Pensionskasse der Stadt Olten</w:t>
      </w:r>
      <w:r w:rsidR="00F61DDB">
        <w:tab/>
      </w:r>
      <w:r w:rsidR="00F61DDB">
        <w:tab/>
        <w:t xml:space="preserve">Stand </w:t>
      </w:r>
      <w:r w:rsidR="007F006F">
        <w:t>09</w:t>
      </w:r>
      <w:r w:rsidR="00F61DDB">
        <w:t>.</w:t>
      </w:r>
      <w:r w:rsidR="007F006F">
        <w:t>11</w:t>
      </w:r>
      <w:r w:rsidR="00F61DDB">
        <w:t>.20</w:t>
      </w:r>
      <w:r w:rsidR="00FA6BA9">
        <w:t>11</w:t>
      </w:r>
    </w:p>
    <w:p w:rsidR="00F61DDB" w:rsidRDefault="00F61DDB">
      <w:pPr>
        <w:shd w:val="pct10" w:color="auto" w:fill="auto"/>
        <w:tabs>
          <w:tab w:val="left" w:pos="4253"/>
        </w:tabs>
        <w:rPr>
          <w:rFonts w:cs="Arial"/>
          <w:i/>
          <w:sz w:val="22"/>
        </w:rPr>
      </w:pPr>
      <w:r>
        <w:rPr>
          <w:b/>
          <w:bCs/>
        </w:rPr>
        <w:t xml:space="preserve">Teilrevision per </w:t>
      </w:r>
      <w:r w:rsidR="005A6AF8">
        <w:rPr>
          <w:b/>
          <w:bCs/>
        </w:rPr>
        <w:t>0</w:t>
      </w:r>
      <w:r>
        <w:rPr>
          <w:b/>
          <w:bCs/>
        </w:rPr>
        <w:t>1.</w:t>
      </w:r>
      <w:r w:rsidR="005A6AF8">
        <w:rPr>
          <w:b/>
          <w:bCs/>
        </w:rPr>
        <w:t>0</w:t>
      </w:r>
      <w:r>
        <w:rPr>
          <w:b/>
          <w:bCs/>
        </w:rPr>
        <w:t>1.20</w:t>
      </w:r>
      <w:r w:rsidR="00FA6BA9">
        <w:rPr>
          <w:b/>
          <w:bCs/>
        </w:rPr>
        <w:t>12</w:t>
      </w:r>
      <w:r>
        <w:tab/>
      </w:r>
      <w:r>
        <w:rPr>
          <w:rFonts w:cs="Arial"/>
          <w:i/>
          <w:sz w:val="22"/>
        </w:rPr>
        <w:t>(synoptische Darstellung)</w:t>
      </w:r>
    </w:p>
    <w:p w:rsidR="00F61DDB" w:rsidRDefault="00F61DDB">
      <w:pPr>
        <w:pStyle w:val="berschrift4"/>
        <w:rPr>
          <w:lang w:val="de-CH"/>
        </w:rPr>
      </w:pPr>
    </w:p>
    <w:p w:rsidR="00F61DDB" w:rsidRDefault="00F61DDB">
      <w:pPr>
        <w:rPr>
          <w:rFonts w:cs="Arial"/>
          <w:sz w:val="24"/>
        </w:rPr>
      </w:pPr>
    </w:p>
    <w:p w:rsidR="00F61DDB" w:rsidRDefault="00F61DDB">
      <w:pPr>
        <w:rPr>
          <w:rFonts w:cs="Arial"/>
        </w:rPr>
      </w:pPr>
      <w:r>
        <w:rPr>
          <w:rFonts w:cs="Arial"/>
          <w:sz w:val="24"/>
        </w:rPr>
        <w:t xml:space="preserve">Änderungen </w:t>
      </w:r>
    </w:p>
    <w:p w:rsidR="00F61DDB" w:rsidRDefault="00F61DDB">
      <w:pPr>
        <w:rPr>
          <w:rFonts w:cs="Arial"/>
        </w:rPr>
      </w:pPr>
    </w:p>
    <w:tbl>
      <w:tblPr>
        <w:tblW w:w="0" w:type="auto"/>
        <w:tblLayout w:type="fixed"/>
        <w:tblCellMar>
          <w:left w:w="70" w:type="dxa"/>
          <w:right w:w="70" w:type="dxa"/>
        </w:tblCellMar>
        <w:tblLook w:val="0000"/>
      </w:tblPr>
      <w:tblGrid>
        <w:gridCol w:w="637"/>
        <w:gridCol w:w="1146"/>
        <w:gridCol w:w="5091"/>
        <w:gridCol w:w="5670"/>
      </w:tblGrid>
      <w:tr w:rsidR="00F61DDB" w:rsidTr="00406524">
        <w:tc>
          <w:tcPr>
            <w:tcW w:w="1783" w:type="dxa"/>
            <w:gridSpan w:val="2"/>
            <w:tcBorders>
              <w:top w:val="dotted" w:sz="6" w:space="0" w:color="auto"/>
              <w:left w:val="dotted" w:sz="6" w:space="0" w:color="auto"/>
              <w:bottom w:val="dotted" w:sz="6" w:space="0" w:color="auto"/>
              <w:right w:val="dotted" w:sz="6" w:space="0" w:color="auto"/>
            </w:tcBorders>
          </w:tcPr>
          <w:p w:rsidR="00F61DDB" w:rsidRDefault="00F61DDB">
            <w:pPr>
              <w:tabs>
                <w:tab w:val="left" w:pos="7371"/>
              </w:tabs>
              <w:rPr>
                <w:rFonts w:cs="Arial"/>
              </w:rPr>
            </w:pPr>
            <w:r>
              <w:rPr>
                <w:rFonts w:cs="Arial"/>
                <w:sz w:val="16"/>
              </w:rPr>
              <w:t>Artikel</w:t>
            </w:r>
          </w:p>
        </w:tc>
        <w:tc>
          <w:tcPr>
            <w:tcW w:w="5091" w:type="dxa"/>
            <w:tcBorders>
              <w:top w:val="dotted" w:sz="6" w:space="0" w:color="auto"/>
              <w:left w:val="nil"/>
              <w:bottom w:val="dotted" w:sz="6" w:space="0" w:color="auto"/>
              <w:right w:val="dotted" w:sz="6" w:space="0" w:color="auto"/>
            </w:tcBorders>
          </w:tcPr>
          <w:p w:rsidR="00F61DDB" w:rsidRDefault="00F61DDB">
            <w:pPr>
              <w:rPr>
                <w:rFonts w:cs="Arial"/>
              </w:rPr>
            </w:pPr>
            <w:r>
              <w:rPr>
                <w:rFonts w:cs="Arial"/>
                <w:b/>
                <w:i/>
              </w:rPr>
              <w:t>alte Fassung</w:t>
            </w:r>
            <w:r>
              <w:rPr>
                <w:rFonts w:cs="Arial"/>
              </w:rPr>
              <w:tab/>
            </w:r>
          </w:p>
        </w:tc>
        <w:tc>
          <w:tcPr>
            <w:tcW w:w="5670" w:type="dxa"/>
            <w:tcBorders>
              <w:top w:val="dotted" w:sz="6" w:space="0" w:color="auto"/>
              <w:left w:val="nil"/>
              <w:bottom w:val="dotted" w:sz="6" w:space="0" w:color="auto"/>
              <w:right w:val="dotted" w:sz="6" w:space="0" w:color="auto"/>
            </w:tcBorders>
          </w:tcPr>
          <w:p w:rsidR="00F61DDB" w:rsidRDefault="00F61DDB">
            <w:pPr>
              <w:ind w:left="1064" w:hanging="1064"/>
              <w:rPr>
                <w:rFonts w:cs="Arial"/>
                <w:b/>
                <w:i/>
              </w:rPr>
            </w:pPr>
            <w:r>
              <w:rPr>
                <w:rFonts w:cs="Arial"/>
                <w:b/>
                <w:i/>
              </w:rPr>
              <w:t>neue Fassung (Änderungen fett und kursiv)</w:t>
            </w:r>
          </w:p>
          <w:p w:rsidR="000000C8" w:rsidRDefault="000000C8">
            <w:pPr>
              <w:ind w:left="1064" w:hanging="1064"/>
              <w:rPr>
                <w:rFonts w:cs="Arial"/>
                <w:sz w:val="18"/>
              </w:rPr>
            </w:pP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Pr="00B82B19" w:rsidRDefault="00B82B19">
            <w:pPr>
              <w:rPr>
                <w:rFonts w:cs="Arial"/>
                <w:sz w:val="16"/>
              </w:rPr>
            </w:pPr>
            <w:r>
              <w:rPr>
                <w:rFonts w:cs="Arial"/>
                <w:sz w:val="16"/>
              </w:rPr>
              <w:t>12</w:t>
            </w:r>
            <w:r w:rsidRPr="00B82B19">
              <w:rPr>
                <w:rFonts w:cs="Arial"/>
                <w:sz w:val="16"/>
                <w:vertAlign w:val="superscript"/>
              </w:rPr>
              <w:t>bis</w:t>
            </w:r>
            <w:r>
              <w:rPr>
                <w:rFonts w:cs="Arial"/>
                <w:sz w:val="16"/>
              </w:rPr>
              <w:t xml:space="preserve"> </w:t>
            </w:r>
            <w:r w:rsidRPr="00B82B19">
              <w:rPr>
                <w:rFonts w:cs="Arial"/>
                <w:b/>
                <w:sz w:val="16"/>
              </w:rPr>
              <w:t>neu</w:t>
            </w:r>
          </w:p>
        </w:tc>
        <w:tc>
          <w:tcPr>
            <w:tcW w:w="1146" w:type="dxa"/>
            <w:tcBorders>
              <w:top w:val="dotted" w:sz="6" w:space="0" w:color="auto"/>
              <w:left w:val="nil"/>
              <w:bottom w:val="dotted" w:sz="6" w:space="0" w:color="auto"/>
              <w:right w:val="dotted" w:sz="6" w:space="0" w:color="auto"/>
            </w:tcBorders>
          </w:tcPr>
          <w:p w:rsidR="00B82B19" w:rsidRDefault="00B82B19">
            <w:pPr>
              <w:rPr>
                <w:rFonts w:cs="Arial"/>
                <w:sz w:val="16"/>
              </w:rPr>
            </w:pPr>
            <w:r>
              <w:rPr>
                <w:rFonts w:cs="Arial"/>
                <w:sz w:val="16"/>
              </w:rPr>
              <w:t>Weiterführung der Vorsorge bei Verminde</w:t>
            </w:r>
            <w:r w:rsidR="00C36D59">
              <w:rPr>
                <w:rFonts w:cs="Arial"/>
                <w:sz w:val="16"/>
              </w:rPr>
              <w:softHyphen/>
            </w:r>
            <w:r>
              <w:rPr>
                <w:rFonts w:cs="Arial"/>
                <w:sz w:val="16"/>
              </w:rPr>
              <w:t>rung des massgeben</w:t>
            </w:r>
            <w:r w:rsidR="00C36D59">
              <w:rPr>
                <w:rFonts w:cs="Arial"/>
                <w:sz w:val="16"/>
              </w:rPr>
              <w:softHyphen/>
            </w:r>
            <w:r>
              <w:rPr>
                <w:rFonts w:cs="Arial"/>
                <w:sz w:val="16"/>
              </w:rPr>
              <w:t>den Jahres</w:t>
            </w:r>
            <w:r w:rsidR="00C36D59">
              <w:rPr>
                <w:rFonts w:cs="Arial"/>
                <w:sz w:val="16"/>
              </w:rPr>
              <w:softHyphen/>
            </w:r>
            <w:r>
              <w:rPr>
                <w:rFonts w:cs="Arial"/>
                <w:sz w:val="16"/>
              </w:rPr>
              <w:t>lohnes</w:t>
            </w:r>
          </w:p>
        </w:tc>
        <w:tc>
          <w:tcPr>
            <w:tcW w:w="5091" w:type="dxa"/>
            <w:tcBorders>
              <w:top w:val="dotted" w:sz="6" w:space="0" w:color="auto"/>
              <w:left w:val="nil"/>
              <w:bottom w:val="dotted" w:sz="6" w:space="0" w:color="auto"/>
              <w:right w:val="dotted" w:sz="6" w:space="0" w:color="auto"/>
            </w:tcBorders>
          </w:tcPr>
          <w:p w:rsidR="00B82B19" w:rsidRDefault="00B82B19">
            <w:pPr>
              <w:jc w:val="both"/>
              <w:rPr>
                <w:rFonts w:cs="Arial"/>
                <w:sz w:val="18"/>
              </w:rPr>
            </w:pPr>
          </w:p>
        </w:tc>
        <w:tc>
          <w:tcPr>
            <w:tcW w:w="5670" w:type="dxa"/>
            <w:tcBorders>
              <w:top w:val="dotted" w:sz="6" w:space="0" w:color="auto"/>
              <w:left w:val="nil"/>
              <w:bottom w:val="dotted" w:sz="6" w:space="0" w:color="auto"/>
              <w:right w:val="dotted" w:sz="6" w:space="0" w:color="auto"/>
            </w:tcBorders>
          </w:tcPr>
          <w:p w:rsidR="00B82B19" w:rsidRDefault="00B82B19" w:rsidP="00C36D59">
            <w:pPr>
              <w:tabs>
                <w:tab w:val="left" w:pos="206"/>
              </w:tabs>
              <w:jc w:val="both"/>
              <w:rPr>
                <w:b/>
                <w:i/>
                <w:sz w:val="18"/>
              </w:rPr>
            </w:pPr>
            <w:r w:rsidRPr="002C1A2B">
              <w:rPr>
                <w:b/>
                <w:i/>
                <w:sz w:val="18"/>
                <w:vertAlign w:val="superscript"/>
              </w:rPr>
              <w:t>1</w:t>
            </w:r>
            <w:r>
              <w:rPr>
                <w:b/>
                <w:i/>
                <w:sz w:val="18"/>
              </w:rPr>
              <w:t xml:space="preserve"> Hat die versicherte Person das 58. Altersjahr bereits vollendet und wird der massgebende Jahreslohn wegen Verminderung des Beschäftigungsgrades oder veränderter dienstlicher Bean</w:t>
            </w:r>
            <w:r w:rsidR="00C36D59">
              <w:rPr>
                <w:b/>
                <w:i/>
                <w:sz w:val="18"/>
              </w:rPr>
              <w:softHyphen/>
            </w:r>
            <w:r>
              <w:rPr>
                <w:b/>
                <w:i/>
                <w:sz w:val="18"/>
              </w:rPr>
              <w:t>spruchung um höchstens die Hälfte herabgesetzt, ohne dass eine Versicherungsleistung ausgerichtet wird, so kann die ver</w:t>
            </w:r>
            <w:r w:rsidR="00C36D59">
              <w:rPr>
                <w:b/>
                <w:i/>
                <w:sz w:val="18"/>
              </w:rPr>
              <w:softHyphen/>
            </w:r>
            <w:r>
              <w:rPr>
                <w:b/>
                <w:i/>
                <w:sz w:val="18"/>
              </w:rPr>
              <w:t>sicherte Person den bisherigen versicherten Verdienst bis längstens zur Vollendung des 65. Altersjahres beibehalten.</w:t>
            </w:r>
          </w:p>
          <w:p w:rsidR="00B82B19" w:rsidRPr="002C1A2B" w:rsidRDefault="00B82B19" w:rsidP="00C36D59">
            <w:pPr>
              <w:tabs>
                <w:tab w:val="left" w:pos="206"/>
              </w:tabs>
              <w:jc w:val="both"/>
              <w:rPr>
                <w:b/>
                <w:i/>
                <w:sz w:val="18"/>
              </w:rPr>
            </w:pPr>
          </w:p>
          <w:p w:rsidR="00B82B19" w:rsidRDefault="00B82B19" w:rsidP="00C36D59">
            <w:pPr>
              <w:tabs>
                <w:tab w:val="left" w:pos="200"/>
              </w:tabs>
              <w:jc w:val="both"/>
              <w:rPr>
                <w:b/>
                <w:i/>
                <w:sz w:val="18"/>
              </w:rPr>
            </w:pPr>
            <w:r w:rsidRPr="002C1A2B">
              <w:rPr>
                <w:b/>
                <w:i/>
                <w:sz w:val="18"/>
                <w:vertAlign w:val="superscript"/>
              </w:rPr>
              <w:t>2</w:t>
            </w:r>
            <w:r>
              <w:rPr>
                <w:b/>
                <w:i/>
                <w:sz w:val="18"/>
              </w:rPr>
              <w:t xml:space="preserve"> Die versicherte Person muss für die Differenz zwischen dem bisherigen und dem neuen versicherten Verdienst sowohl seine Beiträge</w:t>
            </w:r>
            <w:r w:rsidR="00C36D59">
              <w:rPr>
                <w:b/>
                <w:i/>
                <w:sz w:val="18"/>
              </w:rPr>
              <w:t xml:space="preserve"> als auch die des Arbeitgebers übernehmen.</w:t>
            </w:r>
          </w:p>
          <w:p w:rsidR="00C36D59" w:rsidRPr="002C1A2B" w:rsidRDefault="00C36D59" w:rsidP="00C36D59">
            <w:pPr>
              <w:tabs>
                <w:tab w:val="left" w:pos="200"/>
              </w:tabs>
              <w:jc w:val="both"/>
              <w:rPr>
                <w:b/>
                <w:i/>
                <w:sz w:val="18"/>
              </w:rPr>
            </w:pP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pPr>
              <w:rPr>
                <w:rFonts w:cs="Arial"/>
                <w:sz w:val="16"/>
              </w:rPr>
            </w:pPr>
            <w:r>
              <w:rPr>
                <w:rFonts w:cs="Arial"/>
                <w:sz w:val="16"/>
              </w:rPr>
              <w:t>17</w:t>
            </w:r>
          </w:p>
        </w:tc>
        <w:tc>
          <w:tcPr>
            <w:tcW w:w="1146" w:type="dxa"/>
            <w:tcBorders>
              <w:top w:val="dotted" w:sz="6" w:space="0" w:color="auto"/>
              <w:left w:val="nil"/>
              <w:bottom w:val="dotted" w:sz="6" w:space="0" w:color="auto"/>
              <w:right w:val="dotted" w:sz="6" w:space="0" w:color="auto"/>
            </w:tcBorders>
          </w:tcPr>
          <w:p w:rsidR="00B82B19" w:rsidRDefault="00B82B19">
            <w:pPr>
              <w:rPr>
                <w:rFonts w:cs="Arial"/>
                <w:sz w:val="16"/>
              </w:rPr>
            </w:pPr>
            <w:r>
              <w:rPr>
                <w:rFonts w:cs="Arial"/>
                <w:sz w:val="16"/>
              </w:rPr>
              <w:t>Technischer Zinssatz</w:t>
            </w:r>
          </w:p>
          <w:p w:rsidR="00B82B19" w:rsidRDefault="00B82B19">
            <w:pPr>
              <w:rPr>
                <w:rFonts w:cs="Arial"/>
                <w:sz w:val="16"/>
              </w:rPr>
            </w:pPr>
          </w:p>
          <w:p w:rsidR="00B82B19" w:rsidRDefault="00B82B19">
            <w:pPr>
              <w:rPr>
                <w:rFonts w:cs="Arial"/>
                <w:sz w:val="16"/>
              </w:rPr>
            </w:pPr>
          </w:p>
        </w:tc>
        <w:tc>
          <w:tcPr>
            <w:tcW w:w="5091" w:type="dxa"/>
            <w:tcBorders>
              <w:top w:val="dotted" w:sz="6" w:space="0" w:color="auto"/>
              <w:left w:val="nil"/>
              <w:bottom w:val="dotted" w:sz="6" w:space="0" w:color="auto"/>
              <w:right w:val="dotted" w:sz="6" w:space="0" w:color="auto"/>
            </w:tcBorders>
          </w:tcPr>
          <w:p w:rsidR="00B82B19" w:rsidRDefault="00B82B19">
            <w:pPr>
              <w:jc w:val="both"/>
              <w:rPr>
                <w:rFonts w:cs="Arial"/>
              </w:rPr>
            </w:pPr>
            <w:r>
              <w:rPr>
                <w:rFonts w:cs="Arial"/>
                <w:sz w:val="18"/>
              </w:rPr>
              <w:t>Als versicherungstechnischer Zinssatz gilt der Satz von 4 %.</w:t>
            </w:r>
          </w:p>
        </w:tc>
        <w:tc>
          <w:tcPr>
            <w:tcW w:w="5670" w:type="dxa"/>
            <w:tcBorders>
              <w:top w:val="dotted" w:sz="6" w:space="0" w:color="auto"/>
              <w:left w:val="nil"/>
              <w:bottom w:val="dotted" w:sz="6" w:space="0" w:color="auto"/>
              <w:right w:val="dotted" w:sz="6" w:space="0" w:color="auto"/>
            </w:tcBorders>
          </w:tcPr>
          <w:p w:rsidR="00B82B19" w:rsidRPr="0014358C" w:rsidRDefault="00B82B19">
            <w:pPr>
              <w:jc w:val="both"/>
              <w:rPr>
                <w:rFonts w:cs="Arial"/>
                <w:b/>
                <w:i/>
                <w:sz w:val="18"/>
                <w:szCs w:val="18"/>
              </w:rPr>
            </w:pPr>
            <w:r>
              <w:rPr>
                <w:rFonts w:cs="Arial"/>
                <w:b/>
                <w:i/>
                <w:sz w:val="18"/>
                <w:szCs w:val="18"/>
              </w:rPr>
              <w:t>Der versicherungstechnische Zinssatz wird von der Pension</w:t>
            </w:r>
            <w:r>
              <w:rPr>
                <w:rFonts w:cs="Arial"/>
                <w:b/>
                <w:i/>
                <w:sz w:val="18"/>
                <w:szCs w:val="18"/>
              </w:rPr>
              <w:t>s</w:t>
            </w:r>
            <w:r>
              <w:rPr>
                <w:rFonts w:cs="Arial"/>
                <w:b/>
                <w:i/>
                <w:sz w:val="18"/>
                <w:szCs w:val="18"/>
              </w:rPr>
              <w:t>kommission festgelegt und liegt in der Bandbreite von 2.5 % bis 4.5 %.</w:t>
            </w: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pPr>
              <w:rPr>
                <w:rFonts w:cs="Arial"/>
                <w:sz w:val="16"/>
              </w:rPr>
            </w:pPr>
            <w:r>
              <w:rPr>
                <w:rFonts w:cs="Arial"/>
                <w:sz w:val="16"/>
              </w:rPr>
              <w:t>24 Abs. 3</w:t>
            </w:r>
          </w:p>
          <w:p w:rsidR="00B82B19" w:rsidRDefault="00B82B19">
            <w:pPr>
              <w:rPr>
                <w:rFonts w:cs="Arial"/>
                <w:sz w:val="16"/>
              </w:rPr>
            </w:pPr>
          </w:p>
          <w:p w:rsidR="00B82B19" w:rsidRDefault="00B82B19">
            <w:pPr>
              <w:rPr>
                <w:rFonts w:cs="Arial"/>
                <w:sz w:val="16"/>
              </w:rPr>
            </w:pPr>
          </w:p>
          <w:p w:rsidR="00B82B19" w:rsidRDefault="00B82B19">
            <w:pPr>
              <w:rPr>
                <w:rFonts w:cs="Arial"/>
                <w:sz w:val="16"/>
              </w:rPr>
            </w:pPr>
          </w:p>
        </w:tc>
        <w:tc>
          <w:tcPr>
            <w:tcW w:w="1146" w:type="dxa"/>
            <w:tcBorders>
              <w:top w:val="dotted" w:sz="6" w:space="0" w:color="auto"/>
              <w:left w:val="nil"/>
              <w:bottom w:val="dotted" w:sz="6" w:space="0" w:color="auto"/>
              <w:right w:val="dotted" w:sz="6" w:space="0" w:color="auto"/>
            </w:tcBorders>
          </w:tcPr>
          <w:p w:rsidR="00B82B19" w:rsidRDefault="00B82B19">
            <w:pPr>
              <w:rPr>
                <w:rFonts w:cs="Arial"/>
                <w:sz w:val="16"/>
              </w:rPr>
            </w:pPr>
            <w:r>
              <w:rPr>
                <w:rFonts w:cs="Arial"/>
                <w:sz w:val="16"/>
              </w:rPr>
              <w:t>Beitrag an AHV-Über-brückung</w:t>
            </w:r>
            <w:r>
              <w:rPr>
                <w:rFonts w:cs="Arial"/>
                <w:sz w:val="16"/>
              </w:rPr>
              <w:t>s</w:t>
            </w:r>
            <w:r>
              <w:rPr>
                <w:rFonts w:cs="Arial"/>
                <w:sz w:val="16"/>
              </w:rPr>
              <w:t>rente</w:t>
            </w:r>
          </w:p>
        </w:tc>
        <w:tc>
          <w:tcPr>
            <w:tcW w:w="5091" w:type="dxa"/>
            <w:tcBorders>
              <w:top w:val="dotted" w:sz="6" w:space="0" w:color="auto"/>
              <w:left w:val="nil"/>
              <w:bottom w:val="dotted" w:sz="6" w:space="0" w:color="auto"/>
              <w:right w:val="dotted" w:sz="6" w:space="0" w:color="auto"/>
            </w:tcBorders>
          </w:tcPr>
          <w:p w:rsidR="00B82B19" w:rsidRPr="00E736ED" w:rsidRDefault="00B82B19">
            <w:pPr>
              <w:jc w:val="both"/>
              <w:rPr>
                <w:rFonts w:cs="Arial"/>
                <w:sz w:val="18"/>
                <w:szCs w:val="18"/>
              </w:rPr>
            </w:pPr>
            <w:r>
              <w:rPr>
                <w:rFonts w:cs="Arial"/>
                <w:sz w:val="18"/>
                <w:szCs w:val="18"/>
              </w:rPr>
              <w:t>Die Arbeitgeber vergüten den Unterschied zwischen der Kü</w:t>
            </w:r>
            <w:r>
              <w:rPr>
                <w:rFonts w:cs="Arial"/>
                <w:sz w:val="18"/>
                <w:szCs w:val="18"/>
              </w:rPr>
              <w:t>r</w:t>
            </w:r>
            <w:r>
              <w:rPr>
                <w:rFonts w:cs="Arial"/>
                <w:sz w:val="18"/>
                <w:szCs w:val="18"/>
              </w:rPr>
              <w:t>zung nach Tabelle 3 im Anhang und dem Satz von 0.6 % der insgesamt bezogenen Überbrückungsrentenbeiträge pro Monat des Bezuges.</w:t>
            </w:r>
          </w:p>
        </w:tc>
        <w:tc>
          <w:tcPr>
            <w:tcW w:w="5670" w:type="dxa"/>
            <w:tcBorders>
              <w:top w:val="dotted" w:sz="6" w:space="0" w:color="auto"/>
              <w:left w:val="nil"/>
              <w:bottom w:val="dotted" w:sz="6" w:space="0" w:color="auto"/>
              <w:right w:val="dotted" w:sz="6" w:space="0" w:color="auto"/>
            </w:tcBorders>
          </w:tcPr>
          <w:p w:rsidR="00B82B19" w:rsidRPr="00E736ED" w:rsidRDefault="00B82B19" w:rsidP="00A30F97">
            <w:pPr>
              <w:pStyle w:val="berschrift5"/>
              <w:rPr>
                <w:b/>
                <w:sz w:val="18"/>
                <w:szCs w:val="18"/>
              </w:rPr>
            </w:pPr>
            <w:r w:rsidRPr="00E736ED">
              <w:rPr>
                <w:b/>
                <w:sz w:val="18"/>
                <w:szCs w:val="18"/>
              </w:rPr>
              <w:t>Art. 24 Abs. 3 wird ersatzlos aufgehoben</w:t>
            </w: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rsidP="00ED5C7E">
            <w:pPr>
              <w:rPr>
                <w:rFonts w:cs="Arial"/>
                <w:sz w:val="16"/>
              </w:rPr>
            </w:pPr>
            <w:r>
              <w:rPr>
                <w:rFonts w:cs="Arial"/>
                <w:sz w:val="16"/>
              </w:rPr>
              <w:t xml:space="preserve">33 </w:t>
            </w:r>
          </w:p>
          <w:p w:rsidR="00B82B19" w:rsidRDefault="00B82B19" w:rsidP="00ED5C7E">
            <w:pPr>
              <w:rPr>
                <w:rFonts w:cs="Arial"/>
                <w:sz w:val="16"/>
              </w:rPr>
            </w:pPr>
          </w:p>
        </w:tc>
        <w:tc>
          <w:tcPr>
            <w:tcW w:w="1146" w:type="dxa"/>
            <w:tcBorders>
              <w:top w:val="dotted" w:sz="6" w:space="0" w:color="auto"/>
              <w:left w:val="nil"/>
              <w:bottom w:val="dotted" w:sz="6" w:space="0" w:color="auto"/>
              <w:right w:val="dotted" w:sz="6" w:space="0" w:color="auto"/>
            </w:tcBorders>
          </w:tcPr>
          <w:p w:rsidR="00B82B19" w:rsidRDefault="00B82B19" w:rsidP="00ED5C7E">
            <w:pPr>
              <w:rPr>
                <w:rFonts w:cs="Arial"/>
                <w:sz w:val="16"/>
              </w:rPr>
            </w:pPr>
            <w:r>
              <w:rPr>
                <w:rFonts w:cs="Arial"/>
                <w:sz w:val="16"/>
              </w:rPr>
              <w:t>Teuerungsz</w:t>
            </w:r>
            <w:r>
              <w:rPr>
                <w:rFonts w:cs="Arial"/>
                <w:sz w:val="16"/>
              </w:rPr>
              <w:t>u</w:t>
            </w:r>
            <w:r>
              <w:rPr>
                <w:rFonts w:cs="Arial"/>
                <w:sz w:val="16"/>
              </w:rPr>
              <w:t>lagen an die Rentenbez</w:t>
            </w:r>
            <w:r>
              <w:rPr>
                <w:rFonts w:cs="Arial"/>
                <w:sz w:val="16"/>
              </w:rPr>
              <w:t>ü</w:t>
            </w:r>
            <w:r>
              <w:rPr>
                <w:rFonts w:cs="Arial"/>
                <w:sz w:val="16"/>
              </w:rPr>
              <w:t>ger</w:t>
            </w:r>
          </w:p>
          <w:p w:rsidR="00B82B19" w:rsidRDefault="00B82B19" w:rsidP="00ED5C7E">
            <w:pPr>
              <w:rPr>
                <w:rFonts w:cs="Arial"/>
                <w:sz w:val="16"/>
              </w:rPr>
            </w:pPr>
          </w:p>
          <w:p w:rsidR="00B82B19" w:rsidRDefault="00B82B19" w:rsidP="00ED5C7E">
            <w:pPr>
              <w:rPr>
                <w:rFonts w:cs="Arial"/>
                <w:sz w:val="16"/>
              </w:rPr>
            </w:pPr>
          </w:p>
        </w:tc>
        <w:tc>
          <w:tcPr>
            <w:tcW w:w="5091" w:type="dxa"/>
            <w:tcBorders>
              <w:top w:val="dotted" w:sz="6" w:space="0" w:color="auto"/>
              <w:left w:val="nil"/>
              <w:bottom w:val="dotted" w:sz="6" w:space="0" w:color="auto"/>
              <w:right w:val="dotted" w:sz="6" w:space="0" w:color="auto"/>
            </w:tcBorders>
          </w:tcPr>
          <w:p w:rsidR="00B82B19" w:rsidRDefault="00B82B19" w:rsidP="00ED5C7E">
            <w:pPr>
              <w:jc w:val="both"/>
              <w:rPr>
                <w:rFonts w:cs="Arial"/>
                <w:sz w:val="18"/>
                <w:szCs w:val="18"/>
              </w:rPr>
            </w:pPr>
            <w:r>
              <w:rPr>
                <w:rFonts w:cs="Arial"/>
                <w:sz w:val="18"/>
                <w:szCs w:val="18"/>
              </w:rPr>
              <w:t>Zum Ausgleich der Teuerung für die Rentenbezüger wird die im Zeitpunkt der Pensionierung massgebliche ordentliche Jahresbesoldung jährlich um die nach Arbeits- und Gehalt</w:t>
            </w:r>
            <w:r>
              <w:rPr>
                <w:rFonts w:cs="Arial"/>
                <w:sz w:val="18"/>
                <w:szCs w:val="18"/>
              </w:rPr>
              <w:t>s</w:t>
            </w:r>
            <w:r>
              <w:rPr>
                <w:rFonts w:cs="Arial"/>
                <w:sz w:val="18"/>
                <w:szCs w:val="18"/>
              </w:rPr>
              <w:t>ordnung an die Aktiv-Mitglieder gewährten Teuerungszulagen auf eine theoretische Bruttobesoldung aufgerechnet und um einen Koordinationsabzug im Sinne der Statuten vermindert, sofern die finanzielle Lage der Kasse dies erlaubt.</w:t>
            </w:r>
          </w:p>
          <w:p w:rsidR="00B82B19" w:rsidRPr="00F71A79" w:rsidRDefault="00B82B19" w:rsidP="00ED5C7E">
            <w:pPr>
              <w:jc w:val="both"/>
              <w:rPr>
                <w:rFonts w:cs="Arial"/>
                <w:sz w:val="18"/>
                <w:szCs w:val="18"/>
              </w:rPr>
            </w:pPr>
          </w:p>
        </w:tc>
        <w:tc>
          <w:tcPr>
            <w:tcW w:w="5670" w:type="dxa"/>
            <w:tcBorders>
              <w:top w:val="dotted" w:sz="6" w:space="0" w:color="auto"/>
              <w:left w:val="nil"/>
              <w:bottom w:val="dotted" w:sz="6" w:space="0" w:color="auto"/>
              <w:right w:val="dotted" w:sz="6" w:space="0" w:color="auto"/>
            </w:tcBorders>
          </w:tcPr>
          <w:p w:rsidR="00B82B19" w:rsidRDefault="00B82B19" w:rsidP="00ED5C7E">
            <w:pPr>
              <w:tabs>
                <w:tab w:val="left" w:pos="206"/>
              </w:tabs>
              <w:rPr>
                <w:b/>
                <w:i/>
                <w:sz w:val="18"/>
              </w:rPr>
            </w:pPr>
            <w:r w:rsidRPr="002C1A2B">
              <w:rPr>
                <w:b/>
                <w:i/>
                <w:sz w:val="18"/>
                <w:vertAlign w:val="superscript"/>
              </w:rPr>
              <w:t>1</w:t>
            </w:r>
            <w:r>
              <w:rPr>
                <w:b/>
                <w:i/>
                <w:sz w:val="18"/>
              </w:rPr>
              <w:t xml:space="preserve"> </w:t>
            </w:r>
            <w:r w:rsidRPr="002C1A2B">
              <w:rPr>
                <w:b/>
                <w:i/>
                <w:sz w:val="18"/>
              </w:rPr>
              <w:t>Es besteht</w:t>
            </w:r>
            <w:r>
              <w:rPr>
                <w:b/>
                <w:i/>
                <w:sz w:val="18"/>
              </w:rPr>
              <w:t xml:space="preserve"> grundsätzlich</w:t>
            </w:r>
            <w:r w:rsidRPr="002C1A2B">
              <w:rPr>
                <w:b/>
                <w:i/>
                <w:sz w:val="18"/>
              </w:rPr>
              <w:t xml:space="preserve"> kein Anspruch auf eine Rententeu</w:t>
            </w:r>
            <w:r w:rsidRPr="002C1A2B">
              <w:rPr>
                <w:b/>
                <w:i/>
                <w:sz w:val="18"/>
              </w:rPr>
              <w:t>e</w:t>
            </w:r>
            <w:r w:rsidRPr="002C1A2B">
              <w:rPr>
                <w:b/>
                <w:i/>
                <w:sz w:val="18"/>
              </w:rPr>
              <w:t>rung</w:t>
            </w:r>
          </w:p>
          <w:p w:rsidR="00B82B19" w:rsidRPr="002C1A2B" w:rsidRDefault="00B82B19" w:rsidP="00ED5C7E">
            <w:pPr>
              <w:tabs>
                <w:tab w:val="left" w:pos="206"/>
              </w:tabs>
              <w:rPr>
                <w:b/>
                <w:i/>
                <w:sz w:val="18"/>
              </w:rPr>
            </w:pPr>
          </w:p>
          <w:p w:rsidR="00B82B19" w:rsidRDefault="00B82B19" w:rsidP="00ED5C7E">
            <w:pPr>
              <w:tabs>
                <w:tab w:val="left" w:pos="200"/>
              </w:tabs>
              <w:rPr>
                <w:b/>
                <w:i/>
                <w:sz w:val="18"/>
              </w:rPr>
            </w:pPr>
            <w:r w:rsidRPr="002C1A2B">
              <w:rPr>
                <w:b/>
                <w:i/>
                <w:sz w:val="18"/>
                <w:vertAlign w:val="superscript"/>
              </w:rPr>
              <w:t>2</w:t>
            </w:r>
            <w:r>
              <w:rPr>
                <w:b/>
                <w:i/>
                <w:sz w:val="18"/>
              </w:rPr>
              <w:t xml:space="preserve"> </w:t>
            </w:r>
            <w:r w:rsidRPr="002C1A2B">
              <w:rPr>
                <w:b/>
                <w:i/>
                <w:sz w:val="18"/>
              </w:rPr>
              <w:t>Die Ausrichtung einer Rententeuerung orientiert sich an der finanziellen Lage der Kasse</w:t>
            </w:r>
          </w:p>
          <w:p w:rsidR="00B82B19" w:rsidRDefault="00B82B19" w:rsidP="00ED5C7E">
            <w:pPr>
              <w:tabs>
                <w:tab w:val="left" w:pos="200"/>
              </w:tabs>
              <w:rPr>
                <w:b/>
                <w:i/>
                <w:sz w:val="18"/>
              </w:rPr>
            </w:pPr>
          </w:p>
          <w:p w:rsidR="00B82B19" w:rsidRPr="002C1A2B" w:rsidRDefault="00B82B19" w:rsidP="00ED5C7E">
            <w:pPr>
              <w:tabs>
                <w:tab w:val="left" w:pos="200"/>
              </w:tabs>
              <w:rPr>
                <w:b/>
                <w:i/>
                <w:sz w:val="18"/>
              </w:rPr>
            </w:pPr>
            <w:r w:rsidRPr="002C1A2B">
              <w:rPr>
                <w:b/>
                <w:i/>
                <w:sz w:val="18"/>
                <w:vertAlign w:val="superscript"/>
              </w:rPr>
              <w:t xml:space="preserve">3 </w:t>
            </w:r>
            <w:r>
              <w:rPr>
                <w:b/>
                <w:i/>
                <w:sz w:val="18"/>
              </w:rPr>
              <w:t>Die Pensionskommission beschliesst jährlich über die Rente</w:t>
            </w:r>
            <w:r>
              <w:rPr>
                <w:b/>
                <w:i/>
                <w:sz w:val="18"/>
              </w:rPr>
              <w:t>n</w:t>
            </w:r>
            <w:r>
              <w:rPr>
                <w:b/>
                <w:i/>
                <w:sz w:val="18"/>
              </w:rPr>
              <w:t>teuerung basierend auf den aktuellen Renten</w:t>
            </w:r>
          </w:p>
          <w:p w:rsidR="00B82B19" w:rsidRPr="002C1A2B" w:rsidRDefault="00B82B19" w:rsidP="00ED5C7E">
            <w:pPr>
              <w:rPr>
                <w:b/>
                <w:i/>
                <w:sz w:val="18"/>
              </w:rPr>
            </w:pP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pPr>
              <w:rPr>
                <w:rFonts w:cs="Arial"/>
                <w:sz w:val="16"/>
              </w:rPr>
            </w:pPr>
            <w:r>
              <w:rPr>
                <w:rFonts w:cs="Arial"/>
                <w:sz w:val="16"/>
              </w:rPr>
              <w:t>38 Abs. 5</w:t>
            </w:r>
          </w:p>
          <w:p w:rsidR="00B82B19" w:rsidRDefault="00B82B19">
            <w:pPr>
              <w:rPr>
                <w:rFonts w:cs="Arial"/>
                <w:sz w:val="16"/>
              </w:rPr>
            </w:pPr>
          </w:p>
          <w:p w:rsidR="00B82B19" w:rsidRDefault="00B82B19">
            <w:pPr>
              <w:rPr>
                <w:rFonts w:cs="Arial"/>
                <w:sz w:val="16"/>
              </w:rPr>
            </w:pPr>
          </w:p>
          <w:p w:rsidR="00B82B19" w:rsidRDefault="00B82B19">
            <w:pPr>
              <w:rPr>
                <w:rFonts w:cs="Arial"/>
                <w:sz w:val="16"/>
              </w:rPr>
            </w:pPr>
          </w:p>
          <w:p w:rsidR="00B82B19" w:rsidRDefault="00B82B19">
            <w:pPr>
              <w:rPr>
                <w:rFonts w:cs="Arial"/>
                <w:sz w:val="16"/>
              </w:rPr>
            </w:pPr>
          </w:p>
          <w:p w:rsidR="00B82B19" w:rsidRDefault="00B82B19">
            <w:pPr>
              <w:rPr>
                <w:rFonts w:cs="Arial"/>
                <w:sz w:val="16"/>
              </w:rPr>
            </w:pPr>
          </w:p>
          <w:p w:rsidR="00B82B19" w:rsidRDefault="00B82B19">
            <w:pPr>
              <w:rPr>
                <w:rFonts w:cs="Arial"/>
                <w:sz w:val="16"/>
              </w:rPr>
            </w:pPr>
          </w:p>
        </w:tc>
        <w:tc>
          <w:tcPr>
            <w:tcW w:w="1146" w:type="dxa"/>
            <w:tcBorders>
              <w:top w:val="dotted" w:sz="6" w:space="0" w:color="auto"/>
              <w:left w:val="nil"/>
              <w:bottom w:val="dotted" w:sz="6" w:space="0" w:color="auto"/>
              <w:right w:val="dotted" w:sz="6" w:space="0" w:color="auto"/>
            </w:tcBorders>
          </w:tcPr>
          <w:p w:rsidR="00B82B19" w:rsidRDefault="00B82B19">
            <w:pPr>
              <w:rPr>
                <w:rFonts w:cs="Arial"/>
                <w:sz w:val="16"/>
              </w:rPr>
            </w:pPr>
            <w:r>
              <w:rPr>
                <w:rFonts w:cs="Arial"/>
                <w:sz w:val="16"/>
              </w:rPr>
              <w:t>AHV-Über-brückung</w:t>
            </w:r>
            <w:r>
              <w:rPr>
                <w:rFonts w:cs="Arial"/>
                <w:sz w:val="16"/>
              </w:rPr>
              <w:t>s</w:t>
            </w:r>
            <w:r>
              <w:rPr>
                <w:rFonts w:cs="Arial"/>
                <w:sz w:val="16"/>
              </w:rPr>
              <w:t>rente</w:t>
            </w:r>
          </w:p>
          <w:p w:rsidR="00B82B19" w:rsidRDefault="00B82B19">
            <w:pPr>
              <w:rPr>
                <w:rFonts w:cs="Arial"/>
                <w:sz w:val="16"/>
              </w:rPr>
            </w:pPr>
          </w:p>
          <w:p w:rsidR="00B82B19" w:rsidRDefault="00B82B19">
            <w:pPr>
              <w:rPr>
                <w:rFonts w:cs="Arial"/>
                <w:sz w:val="16"/>
              </w:rPr>
            </w:pPr>
          </w:p>
          <w:p w:rsidR="00B82B19" w:rsidRDefault="00B82B19">
            <w:pPr>
              <w:rPr>
                <w:rFonts w:cs="Arial"/>
                <w:sz w:val="16"/>
              </w:rPr>
            </w:pPr>
          </w:p>
          <w:p w:rsidR="00B82B19" w:rsidRDefault="00B82B19">
            <w:pPr>
              <w:rPr>
                <w:rFonts w:cs="Arial"/>
                <w:sz w:val="16"/>
              </w:rPr>
            </w:pPr>
          </w:p>
          <w:p w:rsidR="00B82B19" w:rsidRDefault="00B82B19">
            <w:pPr>
              <w:rPr>
                <w:rFonts w:cs="Arial"/>
                <w:sz w:val="16"/>
              </w:rPr>
            </w:pPr>
          </w:p>
        </w:tc>
        <w:tc>
          <w:tcPr>
            <w:tcW w:w="5091" w:type="dxa"/>
            <w:tcBorders>
              <w:top w:val="dotted" w:sz="6" w:space="0" w:color="auto"/>
              <w:left w:val="nil"/>
              <w:bottom w:val="dotted" w:sz="6" w:space="0" w:color="auto"/>
              <w:right w:val="dotted" w:sz="6" w:space="0" w:color="auto"/>
            </w:tcBorders>
          </w:tcPr>
          <w:p w:rsidR="00B82B19" w:rsidRDefault="00B82B19">
            <w:pPr>
              <w:jc w:val="both"/>
              <w:rPr>
                <w:rFonts w:cs="Arial"/>
                <w:sz w:val="18"/>
              </w:rPr>
            </w:pPr>
            <w:r>
              <w:rPr>
                <w:rFonts w:cs="Arial"/>
                <w:sz w:val="18"/>
              </w:rPr>
              <w:t>Die Arbeitgeber leisten der Kasse für die im 64. und 65. A</w:t>
            </w:r>
            <w:r>
              <w:rPr>
                <w:rFonts w:cs="Arial"/>
                <w:sz w:val="18"/>
              </w:rPr>
              <w:t>l</w:t>
            </w:r>
            <w:r>
              <w:rPr>
                <w:rFonts w:cs="Arial"/>
                <w:sz w:val="18"/>
              </w:rPr>
              <w:t>tersjahr bezogenen Überbrückungsrenten einen abgestuften Beitrag gemäss Besoldungsklasse. Angeschlossene Körpe</w:t>
            </w:r>
            <w:r>
              <w:rPr>
                <w:rFonts w:cs="Arial"/>
                <w:sz w:val="18"/>
              </w:rPr>
              <w:t>r</w:t>
            </w:r>
            <w:r>
              <w:rPr>
                <w:rFonts w:cs="Arial"/>
                <w:sz w:val="18"/>
              </w:rPr>
              <w:t>schaften können entsprechend proportionale Beiträge leisten; machen sie von dieser Möglichkeit keinen Gebrauch, geht die Kürzung voll zu Lasten ihrer Mitglieder.</w:t>
            </w:r>
          </w:p>
          <w:p w:rsidR="000000C8" w:rsidRDefault="000000C8">
            <w:pPr>
              <w:jc w:val="both"/>
              <w:rPr>
                <w:rFonts w:cs="Arial"/>
              </w:rPr>
            </w:pPr>
          </w:p>
          <w:p w:rsidR="000000C8" w:rsidRDefault="000000C8">
            <w:pPr>
              <w:jc w:val="both"/>
              <w:rPr>
                <w:rFonts w:cs="Arial"/>
              </w:rPr>
            </w:pPr>
          </w:p>
        </w:tc>
        <w:tc>
          <w:tcPr>
            <w:tcW w:w="5670" w:type="dxa"/>
            <w:tcBorders>
              <w:top w:val="dotted" w:sz="6" w:space="0" w:color="auto"/>
              <w:left w:val="nil"/>
              <w:bottom w:val="dotted" w:sz="6" w:space="0" w:color="auto"/>
              <w:right w:val="dotted" w:sz="6" w:space="0" w:color="auto"/>
            </w:tcBorders>
          </w:tcPr>
          <w:p w:rsidR="00B82B19" w:rsidRPr="00E736ED" w:rsidRDefault="00B82B19" w:rsidP="00A30F97">
            <w:pPr>
              <w:pStyle w:val="Funotentext"/>
              <w:rPr>
                <w:rFonts w:ascii="Arial" w:hAnsi="Arial" w:cs="Arial"/>
                <w:b/>
                <w:bCs/>
                <w:i/>
                <w:iCs/>
                <w:sz w:val="18"/>
                <w:szCs w:val="18"/>
              </w:rPr>
            </w:pPr>
            <w:r>
              <w:rPr>
                <w:rFonts w:ascii="Arial" w:hAnsi="Arial" w:cs="Arial"/>
                <w:b/>
                <w:bCs/>
                <w:i/>
                <w:iCs/>
                <w:sz w:val="18"/>
                <w:szCs w:val="18"/>
              </w:rPr>
              <w:t>Art. 38 Abs. 5 wird ersatzlos aufgehoben</w:t>
            </w: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rsidP="00ED5C7E">
            <w:pPr>
              <w:rPr>
                <w:rFonts w:cs="Arial"/>
                <w:sz w:val="16"/>
              </w:rPr>
            </w:pPr>
            <w:r>
              <w:rPr>
                <w:rFonts w:cs="Arial"/>
                <w:sz w:val="16"/>
              </w:rPr>
              <w:lastRenderedPageBreak/>
              <w:t>38</w:t>
            </w:r>
            <w:r w:rsidRPr="007A0F7F">
              <w:rPr>
                <w:rFonts w:cs="Arial"/>
                <w:sz w:val="16"/>
                <w:vertAlign w:val="superscript"/>
              </w:rPr>
              <w:t>bis</w:t>
            </w:r>
          </w:p>
        </w:tc>
        <w:tc>
          <w:tcPr>
            <w:tcW w:w="1146" w:type="dxa"/>
            <w:tcBorders>
              <w:top w:val="dotted" w:sz="6" w:space="0" w:color="auto"/>
              <w:left w:val="nil"/>
              <w:bottom w:val="dotted" w:sz="6" w:space="0" w:color="auto"/>
              <w:right w:val="dotted" w:sz="6" w:space="0" w:color="auto"/>
            </w:tcBorders>
          </w:tcPr>
          <w:p w:rsidR="00B82B19" w:rsidRDefault="00B82B19" w:rsidP="00ED5C7E">
            <w:pPr>
              <w:rPr>
                <w:rFonts w:cs="Arial"/>
                <w:sz w:val="16"/>
              </w:rPr>
            </w:pPr>
            <w:r>
              <w:rPr>
                <w:rFonts w:cs="Arial"/>
                <w:sz w:val="16"/>
              </w:rPr>
              <w:t>Kapitalabfi</w:t>
            </w:r>
            <w:r>
              <w:rPr>
                <w:rFonts w:cs="Arial"/>
                <w:sz w:val="16"/>
              </w:rPr>
              <w:t>n</w:t>
            </w:r>
            <w:r>
              <w:rPr>
                <w:rFonts w:cs="Arial"/>
                <w:sz w:val="16"/>
              </w:rPr>
              <w:t>dung</w:t>
            </w:r>
          </w:p>
        </w:tc>
        <w:tc>
          <w:tcPr>
            <w:tcW w:w="5091" w:type="dxa"/>
            <w:tcBorders>
              <w:top w:val="dotted" w:sz="6" w:space="0" w:color="auto"/>
              <w:left w:val="nil"/>
              <w:bottom w:val="dotted" w:sz="6" w:space="0" w:color="auto"/>
              <w:right w:val="dotted" w:sz="6" w:space="0" w:color="auto"/>
            </w:tcBorders>
          </w:tcPr>
          <w:p w:rsidR="00B82B19" w:rsidRDefault="00B82B19" w:rsidP="00ED5C7E">
            <w:pPr>
              <w:jc w:val="both"/>
              <w:rPr>
                <w:rFonts w:cs="Arial"/>
                <w:sz w:val="18"/>
              </w:rPr>
            </w:pPr>
            <w:r w:rsidRPr="0015167F">
              <w:rPr>
                <w:rFonts w:cs="Arial"/>
                <w:sz w:val="18"/>
                <w:vertAlign w:val="superscript"/>
              </w:rPr>
              <w:t xml:space="preserve">1 </w:t>
            </w:r>
            <w:r>
              <w:rPr>
                <w:rFonts w:cs="Arial"/>
                <w:sz w:val="18"/>
              </w:rPr>
              <w:t>Anstelle einer Altersrente kann die versicherte Person einen Teil des entsprechenden Gegenwertes der Rente, maximal 30 % des vorhandenen Deckungskapitals im Zeitpunkt des Altersrücktritts, als Kapitalabfindung verlangen. Der Antrag muss spätestens zwei Jahre vor Entstehung des Anspruches schriftlich eingereicht werden. Verheiratete können eine Kap</w:t>
            </w:r>
            <w:r>
              <w:rPr>
                <w:rFonts w:cs="Arial"/>
                <w:sz w:val="18"/>
              </w:rPr>
              <w:t>i</w:t>
            </w:r>
            <w:r>
              <w:rPr>
                <w:rFonts w:cs="Arial"/>
                <w:sz w:val="18"/>
              </w:rPr>
              <w:t>talabfindung nur mit dem schriftlichen Einverständnis des Ehepartners verlangen.</w:t>
            </w:r>
          </w:p>
          <w:p w:rsidR="00B82B19" w:rsidRDefault="00B82B19" w:rsidP="00ED5C7E">
            <w:pPr>
              <w:jc w:val="both"/>
              <w:rPr>
                <w:rFonts w:cs="Arial"/>
                <w:sz w:val="18"/>
              </w:rPr>
            </w:pPr>
          </w:p>
          <w:p w:rsidR="00B82B19" w:rsidRDefault="00B82B19" w:rsidP="00ED5C7E">
            <w:pPr>
              <w:jc w:val="both"/>
              <w:rPr>
                <w:rFonts w:cs="Arial"/>
                <w:sz w:val="18"/>
              </w:rPr>
            </w:pPr>
            <w:r w:rsidRPr="0015167F">
              <w:rPr>
                <w:rFonts w:cs="Arial"/>
                <w:sz w:val="18"/>
                <w:vertAlign w:val="superscript"/>
              </w:rPr>
              <w:t xml:space="preserve">2 </w:t>
            </w:r>
            <w:r>
              <w:rPr>
                <w:rFonts w:cs="Arial"/>
                <w:sz w:val="18"/>
              </w:rPr>
              <w:t xml:space="preserve"> Bezüger von Invalidenrenten können eine Kapitalabfindung nur verlangen, wenn sie ihren Anspruch auf Kapitalabfindung bereits vor dem Invaliditätsbeginn geltend gemacht haben.</w:t>
            </w:r>
          </w:p>
          <w:p w:rsidR="00B82B19" w:rsidRDefault="00B82B19" w:rsidP="00ED5C7E">
            <w:pPr>
              <w:jc w:val="both"/>
              <w:rPr>
                <w:rFonts w:cs="Arial"/>
                <w:sz w:val="18"/>
              </w:rPr>
            </w:pPr>
          </w:p>
          <w:p w:rsidR="00B82B19" w:rsidRDefault="00B82B19" w:rsidP="00ED5C7E">
            <w:pPr>
              <w:jc w:val="both"/>
              <w:rPr>
                <w:rFonts w:cs="Arial"/>
                <w:sz w:val="18"/>
              </w:rPr>
            </w:pPr>
            <w:r w:rsidRPr="0015167F">
              <w:rPr>
                <w:rFonts w:cs="Arial"/>
                <w:sz w:val="18"/>
                <w:vertAlign w:val="superscript"/>
              </w:rPr>
              <w:t xml:space="preserve">3 </w:t>
            </w:r>
            <w:r>
              <w:rPr>
                <w:rFonts w:cs="Arial"/>
                <w:sz w:val="18"/>
              </w:rPr>
              <w:t>Mit dem Kapitalbezug erlöschen die entsprechenden A</w:t>
            </w:r>
            <w:r>
              <w:rPr>
                <w:rFonts w:cs="Arial"/>
                <w:sz w:val="18"/>
              </w:rPr>
              <w:t>n</w:t>
            </w:r>
            <w:r>
              <w:rPr>
                <w:rFonts w:cs="Arial"/>
                <w:sz w:val="18"/>
              </w:rPr>
              <w:t>sprüche gegenüber der Pensionskasse.</w:t>
            </w:r>
          </w:p>
          <w:p w:rsidR="00B82B19" w:rsidRDefault="00B82B19" w:rsidP="00ED5C7E">
            <w:pPr>
              <w:jc w:val="both"/>
              <w:rPr>
                <w:rFonts w:cs="Arial"/>
                <w:sz w:val="18"/>
              </w:rPr>
            </w:pPr>
          </w:p>
          <w:p w:rsidR="00B82B19" w:rsidRDefault="00B82B19" w:rsidP="00ED5C7E">
            <w:pPr>
              <w:jc w:val="both"/>
              <w:rPr>
                <w:rFonts w:cs="Arial"/>
                <w:sz w:val="18"/>
              </w:rPr>
            </w:pPr>
            <w:r w:rsidRPr="0015167F">
              <w:rPr>
                <w:rFonts w:cs="Arial"/>
                <w:sz w:val="18"/>
                <w:vertAlign w:val="superscript"/>
              </w:rPr>
              <w:t xml:space="preserve">4 </w:t>
            </w:r>
            <w:r>
              <w:rPr>
                <w:rFonts w:cs="Arial"/>
                <w:sz w:val="18"/>
              </w:rPr>
              <w:t>Versicherte Personen, deren Anspruch auf Altersleistungen zwischen dem 1. Januar 2006 und dem 31. Dezember 2008 entsteht und beim Inkrafttreten dieser Statutenänderung ein Gesuch um Kapitalabfindung einreichen wollen, haben dies der Pensionskassenverwaltung bis 30. Juni 2006 zu melden.</w:t>
            </w:r>
          </w:p>
          <w:p w:rsidR="00B82B19" w:rsidRDefault="00B82B19" w:rsidP="00ED5C7E">
            <w:pPr>
              <w:jc w:val="both"/>
              <w:rPr>
                <w:rFonts w:cs="Arial"/>
                <w:sz w:val="18"/>
              </w:rPr>
            </w:pPr>
          </w:p>
        </w:tc>
        <w:tc>
          <w:tcPr>
            <w:tcW w:w="5670" w:type="dxa"/>
            <w:tcBorders>
              <w:top w:val="dotted" w:sz="6" w:space="0" w:color="auto"/>
              <w:left w:val="nil"/>
              <w:bottom w:val="dotted" w:sz="6" w:space="0" w:color="auto"/>
              <w:right w:val="dotted" w:sz="6" w:space="0" w:color="auto"/>
            </w:tcBorders>
          </w:tcPr>
          <w:p w:rsidR="00B82B19" w:rsidRDefault="00B82B19" w:rsidP="00ED5C7E">
            <w:pPr>
              <w:jc w:val="both"/>
              <w:rPr>
                <w:rFonts w:cs="Arial"/>
                <w:b/>
                <w:bCs/>
                <w:i/>
                <w:iCs/>
                <w:sz w:val="18"/>
              </w:rPr>
            </w:pPr>
            <w:r w:rsidRPr="0015167F">
              <w:rPr>
                <w:rFonts w:cs="Arial"/>
                <w:b/>
                <w:bCs/>
                <w:i/>
                <w:iCs/>
                <w:sz w:val="18"/>
                <w:vertAlign w:val="superscript"/>
              </w:rPr>
              <w:t xml:space="preserve">1 </w:t>
            </w:r>
            <w:r>
              <w:rPr>
                <w:rFonts w:cs="Arial"/>
                <w:b/>
                <w:bCs/>
                <w:i/>
                <w:iCs/>
                <w:sz w:val="18"/>
              </w:rPr>
              <w:t>Anstelle einer Altersrente kann die versicherte Person einen Teil des entsprechenden Gegenwertes der Rente, maximal 50 % des vorhandenen Deckungskapitals im Zeitpunkt des Alter</w:t>
            </w:r>
            <w:r>
              <w:rPr>
                <w:rFonts w:cs="Arial"/>
                <w:b/>
                <w:bCs/>
                <w:i/>
                <w:iCs/>
                <w:sz w:val="18"/>
              </w:rPr>
              <w:t>s</w:t>
            </w:r>
            <w:r>
              <w:rPr>
                <w:rFonts w:cs="Arial"/>
                <w:b/>
                <w:bCs/>
                <w:i/>
                <w:iCs/>
                <w:sz w:val="18"/>
              </w:rPr>
              <w:t>rücktritts als Kapitalabfindung verlangen. Der Antrag muss sp</w:t>
            </w:r>
            <w:r>
              <w:rPr>
                <w:rFonts w:cs="Arial"/>
                <w:b/>
                <w:bCs/>
                <w:i/>
                <w:iCs/>
                <w:sz w:val="18"/>
              </w:rPr>
              <w:t>ä</w:t>
            </w:r>
            <w:r>
              <w:rPr>
                <w:rFonts w:cs="Arial"/>
                <w:b/>
                <w:bCs/>
                <w:i/>
                <w:iCs/>
                <w:sz w:val="18"/>
              </w:rPr>
              <w:t>testens ein Jahr vor Entstehung des Anspruchs auf eine Kap</w:t>
            </w:r>
            <w:r>
              <w:rPr>
                <w:rFonts w:cs="Arial"/>
                <w:b/>
                <w:bCs/>
                <w:i/>
                <w:iCs/>
                <w:sz w:val="18"/>
              </w:rPr>
              <w:t>i</w:t>
            </w:r>
            <w:r>
              <w:rPr>
                <w:rFonts w:cs="Arial"/>
                <w:b/>
                <w:bCs/>
                <w:i/>
                <w:iCs/>
                <w:sz w:val="18"/>
              </w:rPr>
              <w:t>talabfindung unwiderruflich schriftlich eingereicht werden. Ve</w:t>
            </w:r>
            <w:r>
              <w:rPr>
                <w:rFonts w:cs="Arial"/>
                <w:b/>
                <w:bCs/>
                <w:i/>
                <w:iCs/>
                <w:sz w:val="18"/>
              </w:rPr>
              <w:t>r</w:t>
            </w:r>
            <w:r>
              <w:rPr>
                <w:rFonts w:cs="Arial"/>
                <w:b/>
                <w:bCs/>
                <w:i/>
                <w:iCs/>
                <w:sz w:val="18"/>
              </w:rPr>
              <w:t>heiratete können eine Kapitalabfindung nur mit dem schriftl</w:t>
            </w:r>
            <w:r>
              <w:rPr>
                <w:rFonts w:cs="Arial"/>
                <w:b/>
                <w:bCs/>
                <w:i/>
                <w:iCs/>
                <w:sz w:val="18"/>
              </w:rPr>
              <w:t>i</w:t>
            </w:r>
            <w:r>
              <w:rPr>
                <w:rFonts w:cs="Arial"/>
                <w:b/>
                <w:bCs/>
                <w:i/>
                <w:iCs/>
                <w:sz w:val="18"/>
              </w:rPr>
              <w:t>chen Einverständnis des Ehepartners verlangen.</w:t>
            </w:r>
          </w:p>
          <w:p w:rsidR="00B82B19" w:rsidRDefault="00B82B19" w:rsidP="00ED5C7E">
            <w:pPr>
              <w:jc w:val="both"/>
              <w:rPr>
                <w:rFonts w:cs="Arial"/>
                <w:b/>
                <w:bCs/>
                <w:i/>
                <w:iCs/>
                <w:sz w:val="18"/>
              </w:rPr>
            </w:pPr>
          </w:p>
          <w:p w:rsidR="00B82B19" w:rsidRDefault="00B82B19" w:rsidP="00ED5C7E">
            <w:pPr>
              <w:jc w:val="both"/>
              <w:rPr>
                <w:rFonts w:cs="Arial"/>
                <w:b/>
                <w:bCs/>
                <w:i/>
                <w:iCs/>
                <w:sz w:val="18"/>
              </w:rPr>
            </w:pPr>
            <w:r w:rsidRPr="0015167F">
              <w:rPr>
                <w:rFonts w:cs="Arial"/>
                <w:b/>
                <w:bCs/>
                <w:i/>
                <w:iCs/>
                <w:sz w:val="18"/>
                <w:vertAlign w:val="superscript"/>
              </w:rPr>
              <w:t xml:space="preserve">2 </w:t>
            </w:r>
            <w:r>
              <w:rPr>
                <w:rFonts w:cs="Arial"/>
                <w:b/>
                <w:bCs/>
                <w:i/>
                <w:iCs/>
                <w:sz w:val="18"/>
              </w:rPr>
              <w:t>bleibt unverändert</w:t>
            </w:r>
          </w:p>
          <w:p w:rsidR="00B82B19" w:rsidRDefault="00B82B19" w:rsidP="00ED5C7E">
            <w:pPr>
              <w:jc w:val="both"/>
              <w:rPr>
                <w:rFonts w:cs="Arial"/>
                <w:b/>
                <w:bCs/>
                <w:i/>
                <w:iCs/>
                <w:sz w:val="18"/>
              </w:rPr>
            </w:pPr>
          </w:p>
          <w:p w:rsidR="00B82B19" w:rsidRDefault="00B82B19" w:rsidP="00ED5C7E">
            <w:pPr>
              <w:jc w:val="both"/>
              <w:rPr>
                <w:rFonts w:cs="Arial"/>
                <w:b/>
                <w:bCs/>
                <w:i/>
                <w:iCs/>
                <w:sz w:val="18"/>
              </w:rPr>
            </w:pPr>
            <w:r w:rsidRPr="0015167F">
              <w:rPr>
                <w:rFonts w:cs="Arial"/>
                <w:b/>
                <w:bCs/>
                <w:i/>
                <w:iCs/>
                <w:sz w:val="18"/>
                <w:vertAlign w:val="superscript"/>
              </w:rPr>
              <w:t>3</w:t>
            </w:r>
            <w:r>
              <w:rPr>
                <w:rFonts w:cs="Arial"/>
                <w:b/>
                <w:bCs/>
                <w:i/>
                <w:iCs/>
                <w:sz w:val="18"/>
              </w:rPr>
              <w:t xml:space="preserve"> bleibt unverändert</w:t>
            </w:r>
          </w:p>
          <w:p w:rsidR="00B82B19" w:rsidRDefault="00B82B19" w:rsidP="00ED5C7E">
            <w:pPr>
              <w:jc w:val="both"/>
              <w:rPr>
                <w:rFonts w:cs="Arial"/>
                <w:b/>
                <w:bCs/>
                <w:i/>
                <w:iCs/>
                <w:sz w:val="18"/>
              </w:rPr>
            </w:pPr>
          </w:p>
          <w:p w:rsidR="00B82B19" w:rsidRDefault="00B82B19" w:rsidP="008365EA">
            <w:pPr>
              <w:jc w:val="both"/>
              <w:rPr>
                <w:rFonts w:cs="Arial"/>
                <w:b/>
                <w:bCs/>
                <w:i/>
                <w:iCs/>
                <w:sz w:val="18"/>
              </w:rPr>
            </w:pPr>
            <w:r>
              <w:rPr>
                <w:rFonts w:cs="Arial"/>
                <w:b/>
                <w:bCs/>
                <w:i/>
                <w:iCs/>
                <w:sz w:val="18"/>
              </w:rPr>
              <w:t>Art. 38</w:t>
            </w:r>
            <w:r w:rsidRPr="008365EA">
              <w:rPr>
                <w:rFonts w:cs="Arial"/>
                <w:b/>
                <w:bCs/>
                <w:i/>
                <w:iCs/>
                <w:sz w:val="18"/>
                <w:vertAlign w:val="superscript"/>
              </w:rPr>
              <w:t>bis</w:t>
            </w:r>
            <w:r>
              <w:rPr>
                <w:rFonts w:cs="Arial"/>
                <w:b/>
                <w:bCs/>
                <w:i/>
                <w:iCs/>
                <w:sz w:val="18"/>
              </w:rPr>
              <w:t xml:space="preserve"> Abs. 4 wird ersatzlos aufgehoben</w:t>
            </w: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rsidP="00ED5C7E">
            <w:pPr>
              <w:rPr>
                <w:rFonts w:cs="Arial"/>
                <w:sz w:val="16"/>
              </w:rPr>
            </w:pPr>
            <w:r>
              <w:rPr>
                <w:rFonts w:cs="Arial"/>
                <w:sz w:val="16"/>
              </w:rPr>
              <w:t>40</w:t>
            </w:r>
          </w:p>
        </w:tc>
        <w:tc>
          <w:tcPr>
            <w:tcW w:w="1146" w:type="dxa"/>
            <w:tcBorders>
              <w:top w:val="dotted" w:sz="6" w:space="0" w:color="auto"/>
              <w:left w:val="nil"/>
              <w:bottom w:val="dotted" w:sz="6" w:space="0" w:color="auto"/>
              <w:right w:val="dotted" w:sz="6" w:space="0" w:color="auto"/>
            </w:tcBorders>
          </w:tcPr>
          <w:p w:rsidR="00B82B19" w:rsidRDefault="00B82B19" w:rsidP="00ED5C7E">
            <w:pPr>
              <w:rPr>
                <w:rFonts w:cs="Arial"/>
                <w:sz w:val="16"/>
              </w:rPr>
            </w:pPr>
            <w:r>
              <w:rPr>
                <w:rFonts w:cs="Arial"/>
                <w:sz w:val="16"/>
              </w:rPr>
              <w:t>Höhe der Invalidenrente</w:t>
            </w:r>
          </w:p>
        </w:tc>
        <w:tc>
          <w:tcPr>
            <w:tcW w:w="5091" w:type="dxa"/>
            <w:tcBorders>
              <w:top w:val="dotted" w:sz="6" w:space="0" w:color="auto"/>
              <w:left w:val="nil"/>
              <w:bottom w:val="dotted" w:sz="6" w:space="0" w:color="auto"/>
              <w:right w:val="dotted" w:sz="6" w:space="0" w:color="auto"/>
            </w:tcBorders>
          </w:tcPr>
          <w:p w:rsidR="00B82B19" w:rsidRDefault="00B82B19" w:rsidP="00ED5C7E">
            <w:pPr>
              <w:jc w:val="both"/>
              <w:rPr>
                <w:rFonts w:cs="Arial"/>
                <w:sz w:val="18"/>
              </w:rPr>
            </w:pPr>
            <w:r>
              <w:rPr>
                <w:rFonts w:cs="Arial"/>
                <w:sz w:val="18"/>
              </w:rPr>
              <w:t>Bei Vollinvalidität hat das Mitglied Anspruch auf eine jährliche Invalidenrente von 100 % der möglichen Altersrente.</w:t>
            </w:r>
          </w:p>
        </w:tc>
        <w:tc>
          <w:tcPr>
            <w:tcW w:w="5670" w:type="dxa"/>
            <w:tcBorders>
              <w:top w:val="dotted" w:sz="6" w:space="0" w:color="auto"/>
              <w:left w:val="nil"/>
              <w:bottom w:val="dotted" w:sz="6" w:space="0" w:color="auto"/>
              <w:right w:val="dotted" w:sz="6" w:space="0" w:color="auto"/>
            </w:tcBorders>
          </w:tcPr>
          <w:p w:rsidR="00B82B19" w:rsidRDefault="00B82B19" w:rsidP="00ED5C7E">
            <w:pPr>
              <w:jc w:val="both"/>
              <w:rPr>
                <w:rFonts w:cs="Arial"/>
                <w:b/>
                <w:bCs/>
                <w:i/>
                <w:iCs/>
                <w:sz w:val="18"/>
              </w:rPr>
            </w:pPr>
            <w:r>
              <w:rPr>
                <w:rFonts w:cs="Arial"/>
                <w:b/>
                <w:bCs/>
                <w:i/>
                <w:iCs/>
                <w:sz w:val="18"/>
              </w:rPr>
              <w:t>Bei Vollinvalidität hat die versicherte Person Anspruch auf eine jährliche Invalidenrente in der Höhe von 60 % des versicherten Lohnes.</w:t>
            </w:r>
          </w:p>
          <w:p w:rsidR="00B82B19" w:rsidRDefault="00B82B19" w:rsidP="00ED5C7E">
            <w:pPr>
              <w:jc w:val="both"/>
              <w:rPr>
                <w:rFonts w:cs="Arial"/>
                <w:b/>
                <w:bCs/>
                <w:i/>
                <w:iCs/>
                <w:sz w:val="18"/>
              </w:rPr>
            </w:pP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Pr="00ED5C7E" w:rsidRDefault="00B82B19">
            <w:pPr>
              <w:rPr>
                <w:rFonts w:cs="Arial"/>
                <w:b/>
                <w:sz w:val="16"/>
              </w:rPr>
            </w:pPr>
            <w:r w:rsidRPr="00ED5C7E">
              <w:rPr>
                <w:rFonts w:cs="Arial"/>
                <w:b/>
                <w:sz w:val="16"/>
              </w:rPr>
              <w:t>4</w:t>
            </w:r>
            <w:r w:rsidRPr="00ED5C7E">
              <w:rPr>
                <w:rFonts w:cs="Arial"/>
                <w:b/>
                <w:sz w:val="16"/>
                <w:vertAlign w:val="superscript"/>
              </w:rPr>
              <w:t>bis</w:t>
            </w:r>
          </w:p>
          <w:p w:rsidR="00B82B19" w:rsidRPr="00ED5C7E" w:rsidRDefault="00B82B19">
            <w:pPr>
              <w:rPr>
                <w:rFonts w:cs="Arial"/>
                <w:b/>
                <w:sz w:val="16"/>
              </w:rPr>
            </w:pPr>
          </w:p>
          <w:p w:rsidR="00B82B19" w:rsidRPr="00ED5C7E" w:rsidRDefault="00B82B19">
            <w:pPr>
              <w:rPr>
                <w:rFonts w:cs="Arial"/>
                <w:b/>
                <w:sz w:val="16"/>
              </w:rPr>
            </w:pPr>
          </w:p>
        </w:tc>
        <w:tc>
          <w:tcPr>
            <w:tcW w:w="1146" w:type="dxa"/>
            <w:tcBorders>
              <w:top w:val="dotted" w:sz="6" w:space="0" w:color="auto"/>
              <w:left w:val="nil"/>
              <w:bottom w:val="dotted" w:sz="6" w:space="0" w:color="auto"/>
              <w:right w:val="dotted" w:sz="6" w:space="0" w:color="auto"/>
            </w:tcBorders>
          </w:tcPr>
          <w:p w:rsidR="00B82B19" w:rsidRPr="00ED5C7E" w:rsidRDefault="00B82B19" w:rsidP="0014358C">
            <w:pPr>
              <w:rPr>
                <w:rFonts w:cs="Arial"/>
                <w:b/>
                <w:sz w:val="16"/>
              </w:rPr>
            </w:pPr>
            <w:r w:rsidRPr="00ED5C7E">
              <w:rPr>
                <w:rFonts w:cs="Arial"/>
                <w:b/>
                <w:sz w:val="16"/>
              </w:rPr>
              <w:t>Lebenspar</w:t>
            </w:r>
            <w:r w:rsidRPr="00ED5C7E">
              <w:rPr>
                <w:rFonts w:cs="Arial"/>
                <w:b/>
                <w:sz w:val="16"/>
              </w:rPr>
              <w:t>t</w:t>
            </w:r>
            <w:r w:rsidRPr="00ED5C7E">
              <w:rPr>
                <w:rFonts w:cs="Arial"/>
                <w:b/>
                <w:sz w:val="16"/>
              </w:rPr>
              <w:t>nerrente</w:t>
            </w:r>
          </w:p>
        </w:tc>
        <w:tc>
          <w:tcPr>
            <w:tcW w:w="5091" w:type="dxa"/>
            <w:tcBorders>
              <w:top w:val="dotted" w:sz="6" w:space="0" w:color="auto"/>
              <w:left w:val="nil"/>
              <w:bottom w:val="dotted" w:sz="6" w:space="0" w:color="auto"/>
              <w:right w:val="dotted" w:sz="6" w:space="0" w:color="auto"/>
            </w:tcBorders>
          </w:tcPr>
          <w:p w:rsidR="00B82B19" w:rsidRDefault="00B82B19">
            <w:pPr>
              <w:jc w:val="both"/>
              <w:rPr>
                <w:rFonts w:cs="Arial"/>
              </w:rPr>
            </w:pPr>
          </w:p>
        </w:tc>
        <w:tc>
          <w:tcPr>
            <w:tcW w:w="5670" w:type="dxa"/>
            <w:tcBorders>
              <w:top w:val="dotted" w:sz="6" w:space="0" w:color="auto"/>
              <w:left w:val="nil"/>
              <w:bottom w:val="dotted" w:sz="6" w:space="0" w:color="auto"/>
              <w:right w:val="dotted" w:sz="6" w:space="0" w:color="auto"/>
            </w:tcBorders>
          </w:tcPr>
          <w:p w:rsidR="00B82B19" w:rsidRPr="008B0232" w:rsidRDefault="00B82B19" w:rsidP="00ED5C7E"/>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pPr>
              <w:rPr>
                <w:rFonts w:cs="Arial"/>
                <w:sz w:val="16"/>
              </w:rPr>
            </w:pPr>
            <w:r>
              <w:rPr>
                <w:rFonts w:cs="Arial"/>
                <w:sz w:val="16"/>
              </w:rPr>
              <w:t>48</w:t>
            </w:r>
            <w:r w:rsidRPr="00ED5C7E">
              <w:rPr>
                <w:rFonts w:cs="Arial"/>
                <w:sz w:val="16"/>
                <w:vertAlign w:val="superscript"/>
              </w:rPr>
              <w:t>bis</w:t>
            </w:r>
            <w:r>
              <w:rPr>
                <w:rFonts w:cs="Arial"/>
                <w:sz w:val="16"/>
                <w:vertAlign w:val="superscript"/>
              </w:rPr>
              <w:t xml:space="preserve"> </w:t>
            </w:r>
            <w:r>
              <w:rPr>
                <w:rFonts w:cs="Arial"/>
                <w:sz w:val="16"/>
              </w:rPr>
              <w:t>1</w:t>
            </w:r>
          </w:p>
        </w:tc>
        <w:tc>
          <w:tcPr>
            <w:tcW w:w="1146" w:type="dxa"/>
            <w:tcBorders>
              <w:top w:val="dotted" w:sz="6" w:space="0" w:color="auto"/>
              <w:left w:val="nil"/>
              <w:bottom w:val="dotted" w:sz="6" w:space="0" w:color="auto"/>
              <w:right w:val="dotted" w:sz="6" w:space="0" w:color="auto"/>
            </w:tcBorders>
          </w:tcPr>
          <w:p w:rsidR="00B82B19" w:rsidRDefault="00B82B19" w:rsidP="0014358C">
            <w:pPr>
              <w:rPr>
                <w:rFonts w:cs="Arial"/>
                <w:sz w:val="16"/>
              </w:rPr>
            </w:pPr>
            <w:r>
              <w:rPr>
                <w:rFonts w:cs="Arial"/>
                <w:sz w:val="16"/>
              </w:rPr>
              <w:t>Grundsatz</w:t>
            </w:r>
          </w:p>
        </w:tc>
        <w:tc>
          <w:tcPr>
            <w:tcW w:w="5091" w:type="dxa"/>
            <w:tcBorders>
              <w:top w:val="dotted" w:sz="6" w:space="0" w:color="auto"/>
              <w:left w:val="nil"/>
              <w:bottom w:val="dotted" w:sz="6" w:space="0" w:color="auto"/>
              <w:right w:val="dotted" w:sz="6" w:space="0" w:color="auto"/>
            </w:tcBorders>
          </w:tcPr>
          <w:p w:rsidR="00B82B19" w:rsidRPr="00136BF6" w:rsidRDefault="00B82B19" w:rsidP="00136BF6">
            <w:pPr>
              <w:jc w:val="both"/>
              <w:rPr>
                <w:rFonts w:cs="Arial"/>
                <w:sz w:val="18"/>
                <w:szCs w:val="18"/>
                <w:vertAlign w:val="superscript"/>
              </w:rPr>
            </w:pPr>
          </w:p>
        </w:tc>
        <w:tc>
          <w:tcPr>
            <w:tcW w:w="5670" w:type="dxa"/>
            <w:tcBorders>
              <w:top w:val="dotted" w:sz="6" w:space="0" w:color="auto"/>
              <w:left w:val="nil"/>
              <w:bottom w:val="dotted" w:sz="6" w:space="0" w:color="auto"/>
              <w:right w:val="dotted" w:sz="6" w:space="0" w:color="auto"/>
            </w:tcBorders>
          </w:tcPr>
          <w:p w:rsidR="00B82B19" w:rsidRDefault="00B82B19" w:rsidP="007A0F7F">
            <w:pPr>
              <w:pStyle w:val="berschrift5"/>
              <w:rPr>
                <w:b/>
                <w:sz w:val="18"/>
                <w:szCs w:val="18"/>
              </w:rPr>
            </w:pPr>
            <w:r>
              <w:rPr>
                <w:b/>
                <w:sz w:val="18"/>
                <w:szCs w:val="18"/>
              </w:rPr>
              <w:t xml:space="preserve">Beim Tod einer versicherten Person hat ein </w:t>
            </w:r>
            <w:proofErr w:type="spellStart"/>
            <w:r>
              <w:rPr>
                <w:b/>
                <w:sz w:val="18"/>
                <w:szCs w:val="18"/>
              </w:rPr>
              <w:t>hinterbliebener</w:t>
            </w:r>
            <w:proofErr w:type="spellEnd"/>
            <w:r>
              <w:rPr>
                <w:b/>
                <w:sz w:val="18"/>
                <w:szCs w:val="18"/>
              </w:rPr>
              <w:t xml:space="preserve"> Lebenspartner</w:t>
            </w:r>
            <w:r w:rsidR="009677BA">
              <w:rPr>
                <w:b/>
                <w:sz w:val="18"/>
                <w:szCs w:val="18"/>
              </w:rPr>
              <w:t xml:space="preserve"> bzw. Lebenspartnerin</w:t>
            </w:r>
            <w:r>
              <w:rPr>
                <w:b/>
                <w:sz w:val="18"/>
                <w:szCs w:val="18"/>
              </w:rPr>
              <w:t xml:space="preserve"> Anspruch auf eine Rente, sofern die nac</w:t>
            </w:r>
            <w:r>
              <w:rPr>
                <w:b/>
                <w:sz w:val="18"/>
                <w:szCs w:val="18"/>
              </w:rPr>
              <w:t>h</w:t>
            </w:r>
            <w:r>
              <w:rPr>
                <w:b/>
                <w:sz w:val="18"/>
                <w:szCs w:val="18"/>
              </w:rPr>
              <w:t>folgenden Bestimmungen erfüllt sind.</w:t>
            </w:r>
          </w:p>
          <w:p w:rsidR="00B82B19" w:rsidRPr="001C683E" w:rsidRDefault="00B82B19" w:rsidP="001C683E"/>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pPr>
              <w:rPr>
                <w:rFonts w:cs="Arial"/>
                <w:sz w:val="16"/>
              </w:rPr>
            </w:pPr>
            <w:r>
              <w:rPr>
                <w:rFonts w:cs="Arial"/>
                <w:sz w:val="16"/>
              </w:rPr>
              <w:t>48</w:t>
            </w:r>
            <w:r w:rsidRPr="00ED5C7E">
              <w:rPr>
                <w:rFonts w:cs="Arial"/>
                <w:sz w:val="16"/>
                <w:vertAlign w:val="superscript"/>
              </w:rPr>
              <w:t>bis</w:t>
            </w:r>
            <w:r>
              <w:rPr>
                <w:rFonts w:cs="Arial"/>
                <w:sz w:val="16"/>
              </w:rPr>
              <w:t xml:space="preserve"> 2</w:t>
            </w:r>
          </w:p>
        </w:tc>
        <w:tc>
          <w:tcPr>
            <w:tcW w:w="1146" w:type="dxa"/>
            <w:tcBorders>
              <w:top w:val="dotted" w:sz="6" w:space="0" w:color="auto"/>
              <w:left w:val="nil"/>
              <w:bottom w:val="dotted" w:sz="6" w:space="0" w:color="auto"/>
              <w:right w:val="dotted" w:sz="6" w:space="0" w:color="auto"/>
            </w:tcBorders>
          </w:tcPr>
          <w:p w:rsidR="00B82B19" w:rsidRDefault="00B82B19" w:rsidP="0014358C">
            <w:pPr>
              <w:rPr>
                <w:rFonts w:cs="Arial"/>
                <w:sz w:val="16"/>
              </w:rPr>
            </w:pPr>
            <w:r>
              <w:rPr>
                <w:rFonts w:cs="Arial"/>
                <w:sz w:val="16"/>
              </w:rPr>
              <w:t>Höhe der Rente</w:t>
            </w:r>
          </w:p>
        </w:tc>
        <w:tc>
          <w:tcPr>
            <w:tcW w:w="5091" w:type="dxa"/>
            <w:tcBorders>
              <w:top w:val="dotted" w:sz="6" w:space="0" w:color="auto"/>
              <w:left w:val="nil"/>
              <w:bottom w:val="dotted" w:sz="6" w:space="0" w:color="auto"/>
              <w:right w:val="dotted" w:sz="6" w:space="0" w:color="auto"/>
            </w:tcBorders>
          </w:tcPr>
          <w:p w:rsidR="00B82B19" w:rsidRPr="00136BF6" w:rsidRDefault="00B82B19" w:rsidP="00136BF6">
            <w:pPr>
              <w:jc w:val="both"/>
              <w:rPr>
                <w:rFonts w:cs="Arial"/>
                <w:sz w:val="18"/>
                <w:szCs w:val="18"/>
                <w:vertAlign w:val="superscript"/>
              </w:rPr>
            </w:pPr>
          </w:p>
        </w:tc>
        <w:tc>
          <w:tcPr>
            <w:tcW w:w="5670" w:type="dxa"/>
            <w:tcBorders>
              <w:top w:val="dotted" w:sz="6" w:space="0" w:color="auto"/>
              <w:left w:val="nil"/>
              <w:bottom w:val="dotted" w:sz="6" w:space="0" w:color="auto"/>
              <w:right w:val="dotted" w:sz="6" w:space="0" w:color="auto"/>
            </w:tcBorders>
          </w:tcPr>
          <w:p w:rsidR="00B82B19" w:rsidRDefault="00B82B19" w:rsidP="007A0F7F">
            <w:pPr>
              <w:pStyle w:val="berschrift5"/>
              <w:rPr>
                <w:b/>
                <w:sz w:val="18"/>
                <w:szCs w:val="18"/>
              </w:rPr>
            </w:pPr>
            <w:r w:rsidRPr="00ED5C7E">
              <w:rPr>
                <w:b/>
                <w:sz w:val="18"/>
                <w:szCs w:val="18"/>
                <w:vertAlign w:val="superscript"/>
              </w:rPr>
              <w:t xml:space="preserve">1 </w:t>
            </w:r>
            <w:r>
              <w:rPr>
                <w:b/>
                <w:sz w:val="18"/>
                <w:szCs w:val="18"/>
              </w:rPr>
              <w:t>Stirbt eine versicherte Person vor der Pensionierung, wird die in den Statuten aufgeführte Lebenspartnerrente ausgerichtet.</w:t>
            </w:r>
          </w:p>
          <w:p w:rsidR="00B82B19" w:rsidRDefault="00B82B19" w:rsidP="00ED5C7E"/>
          <w:p w:rsidR="00B82B19" w:rsidRDefault="00B82B19" w:rsidP="001C683E">
            <w:pPr>
              <w:rPr>
                <w:b/>
                <w:i/>
                <w:sz w:val="18"/>
                <w:szCs w:val="18"/>
              </w:rPr>
            </w:pPr>
            <w:r w:rsidRPr="00ED5C7E">
              <w:rPr>
                <w:b/>
                <w:i/>
                <w:sz w:val="18"/>
                <w:szCs w:val="18"/>
                <w:vertAlign w:val="superscript"/>
              </w:rPr>
              <w:t xml:space="preserve">2 </w:t>
            </w:r>
            <w:r>
              <w:rPr>
                <w:b/>
                <w:i/>
                <w:sz w:val="18"/>
                <w:szCs w:val="18"/>
              </w:rPr>
              <w:t>Die überlebende Lebenspartnerin oder –partner ist der verwi</w:t>
            </w:r>
            <w:r>
              <w:rPr>
                <w:b/>
                <w:i/>
                <w:sz w:val="18"/>
                <w:szCs w:val="18"/>
              </w:rPr>
              <w:t>t</w:t>
            </w:r>
            <w:r>
              <w:rPr>
                <w:b/>
                <w:i/>
                <w:sz w:val="18"/>
                <w:szCs w:val="18"/>
              </w:rPr>
              <w:t>weten Ehegattin oder dem verwitweten Ehegatten hinsichtlich Anspruchsberechtigung und Höhe der Leistungen gleichg</w:t>
            </w:r>
            <w:r>
              <w:rPr>
                <w:b/>
                <w:i/>
                <w:sz w:val="18"/>
                <w:szCs w:val="18"/>
              </w:rPr>
              <w:t>e</w:t>
            </w:r>
            <w:r>
              <w:rPr>
                <w:b/>
                <w:i/>
                <w:sz w:val="18"/>
                <w:szCs w:val="18"/>
              </w:rPr>
              <w:t>stellt.</w:t>
            </w:r>
          </w:p>
          <w:p w:rsidR="00B82B19" w:rsidRPr="00ED5C7E" w:rsidRDefault="00B82B19" w:rsidP="001C683E">
            <w:pPr>
              <w:rPr>
                <w:b/>
                <w:i/>
                <w:sz w:val="18"/>
                <w:szCs w:val="18"/>
              </w:rPr>
            </w:pP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pPr>
              <w:rPr>
                <w:rFonts w:cs="Arial"/>
                <w:sz w:val="16"/>
              </w:rPr>
            </w:pPr>
            <w:r>
              <w:rPr>
                <w:rFonts w:cs="Arial"/>
                <w:sz w:val="16"/>
              </w:rPr>
              <w:t>48</w:t>
            </w:r>
            <w:r w:rsidRPr="001C683E">
              <w:rPr>
                <w:rFonts w:cs="Arial"/>
                <w:sz w:val="16"/>
                <w:vertAlign w:val="superscript"/>
              </w:rPr>
              <w:t>bis</w:t>
            </w:r>
            <w:r>
              <w:rPr>
                <w:rFonts w:cs="Arial"/>
                <w:sz w:val="16"/>
              </w:rPr>
              <w:t xml:space="preserve"> 3</w:t>
            </w:r>
          </w:p>
        </w:tc>
        <w:tc>
          <w:tcPr>
            <w:tcW w:w="1146" w:type="dxa"/>
            <w:tcBorders>
              <w:top w:val="dotted" w:sz="6" w:space="0" w:color="auto"/>
              <w:left w:val="nil"/>
              <w:bottom w:val="dotted" w:sz="6" w:space="0" w:color="auto"/>
              <w:right w:val="dotted" w:sz="6" w:space="0" w:color="auto"/>
            </w:tcBorders>
          </w:tcPr>
          <w:p w:rsidR="00B82B19" w:rsidRDefault="00B82B19" w:rsidP="0014358C">
            <w:pPr>
              <w:rPr>
                <w:rFonts w:cs="Arial"/>
                <w:sz w:val="16"/>
              </w:rPr>
            </w:pPr>
            <w:r>
              <w:rPr>
                <w:rFonts w:cs="Arial"/>
                <w:sz w:val="16"/>
              </w:rPr>
              <w:t>Anspruch</w:t>
            </w:r>
            <w:r>
              <w:rPr>
                <w:rFonts w:cs="Arial"/>
                <w:sz w:val="16"/>
              </w:rPr>
              <w:t>s</w:t>
            </w:r>
            <w:r>
              <w:rPr>
                <w:rFonts w:cs="Arial"/>
                <w:sz w:val="16"/>
              </w:rPr>
              <w:t>vorausse</w:t>
            </w:r>
            <w:r>
              <w:rPr>
                <w:rFonts w:cs="Arial"/>
                <w:sz w:val="16"/>
              </w:rPr>
              <w:t>t</w:t>
            </w:r>
            <w:r>
              <w:rPr>
                <w:rFonts w:cs="Arial"/>
                <w:sz w:val="16"/>
              </w:rPr>
              <w:t>zungen</w:t>
            </w:r>
          </w:p>
        </w:tc>
        <w:tc>
          <w:tcPr>
            <w:tcW w:w="5091" w:type="dxa"/>
            <w:tcBorders>
              <w:top w:val="dotted" w:sz="6" w:space="0" w:color="auto"/>
              <w:left w:val="nil"/>
              <w:bottom w:val="dotted" w:sz="6" w:space="0" w:color="auto"/>
              <w:right w:val="dotted" w:sz="6" w:space="0" w:color="auto"/>
            </w:tcBorders>
          </w:tcPr>
          <w:p w:rsidR="00B82B19" w:rsidRPr="00136BF6" w:rsidRDefault="00B82B19" w:rsidP="00136BF6">
            <w:pPr>
              <w:jc w:val="both"/>
              <w:rPr>
                <w:rFonts w:cs="Arial"/>
                <w:sz w:val="18"/>
                <w:szCs w:val="18"/>
                <w:vertAlign w:val="superscript"/>
              </w:rPr>
            </w:pPr>
          </w:p>
        </w:tc>
        <w:tc>
          <w:tcPr>
            <w:tcW w:w="5670" w:type="dxa"/>
            <w:tcBorders>
              <w:top w:val="dotted" w:sz="6" w:space="0" w:color="auto"/>
              <w:left w:val="nil"/>
              <w:bottom w:val="dotted" w:sz="6" w:space="0" w:color="auto"/>
              <w:right w:val="dotted" w:sz="6" w:space="0" w:color="auto"/>
            </w:tcBorders>
          </w:tcPr>
          <w:p w:rsidR="00B82B19" w:rsidRDefault="00B82B19" w:rsidP="007A0F7F">
            <w:pPr>
              <w:pStyle w:val="berschrift5"/>
              <w:rPr>
                <w:b/>
                <w:sz w:val="18"/>
                <w:szCs w:val="18"/>
              </w:rPr>
            </w:pPr>
            <w:r w:rsidRPr="003D5442">
              <w:rPr>
                <w:b/>
                <w:sz w:val="18"/>
                <w:szCs w:val="18"/>
                <w:vertAlign w:val="superscript"/>
              </w:rPr>
              <w:t xml:space="preserve">1 </w:t>
            </w:r>
            <w:r>
              <w:rPr>
                <w:b/>
                <w:sz w:val="18"/>
                <w:szCs w:val="18"/>
              </w:rPr>
              <w:t>Anspruch auf die in den Statuten definierte Lebenspartnerrente hat der hinterbliebene Lebenspartner (verschiedenen oder gle</w:t>
            </w:r>
            <w:r>
              <w:rPr>
                <w:b/>
                <w:sz w:val="18"/>
                <w:szCs w:val="18"/>
              </w:rPr>
              <w:t>i</w:t>
            </w:r>
            <w:r>
              <w:rPr>
                <w:b/>
                <w:sz w:val="18"/>
                <w:szCs w:val="18"/>
              </w:rPr>
              <w:t>chen Geschlechts) einer versicherten Person, wenn die vers</w:t>
            </w:r>
            <w:r>
              <w:rPr>
                <w:b/>
                <w:sz w:val="18"/>
                <w:szCs w:val="18"/>
              </w:rPr>
              <w:t>i</w:t>
            </w:r>
            <w:r>
              <w:rPr>
                <w:b/>
                <w:sz w:val="18"/>
                <w:szCs w:val="18"/>
              </w:rPr>
              <w:t>cherte Person stirbt und alle folgenden Bedingungen erfüllt sind.</w:t>
            </w:r>
          </w:p>
          <w:p w:rsidR="00B82B19" w:rsidRDefault="00B82B19" w:rsidP="003D5442">
            <w:pPr>
              <w:rPr>
                <w:b/>
                <w:i/>
                <w:sz w:val="18"/>
                <w:szCs w:val="18"/>
              </w:rPr>
            </w:pPr>
          </w:p>
          <w:p w:rsidR="00B82B19" w:rsidRDefault="00B82B19" w:rsidP="003D5442">
            <w:pPr>
              <w:rPr>
                <w:b/>
                <w:i/>
                <w:sz w:val="18"/>
                <w:szCs w:val="18"/>
              </w:rPr>
            </w:pPr>
            <w:r w:rsidRPr="003D5442">
              <w:rPr>
                <w:b/>
                <w:i/>
                <w:sz w:val="18"/>
                <w:szCs w:val="18"/>
                <w:vertAlign w:val="superscript"/>
              </w:rPr>
              <w:lastRenderedPageBreak/>
              <w:t xml:space="preserve">2 </w:t>
            </w:r>
            <w:r>
              <w:rPr>
                <w:b/>
                <w:i/>
                <w:sz w:val="18"/>
                <w:szCs w:val="18"/>
              </w:rPr>
              <w:t>Die Lebenspartner haben nachweislich und ununterbrochen mindestens während der letzten fünf Jahre vor dem Tod der versicherten Person in einer Lebensgemeinschaft in einem g</w:t>
            </w:r>
            <w:r>
              <w:rPr>
                <w:b/>
                <w:i/>
                <w:sz w:val="18"/>
                <w:szCs w:val="18"/>
              </w:rPr>
              <w:t>e</w:t>
            </w:r>
            <w:r>
              <w:rPr>
                <w:b/>
                <w:i/>
                <w:sz w:val="18"/>
                <w:szCs w:val="18"/>
              </w:rPr>
              <w:t>meinsamen Haushalt gelebt, oder sie haben zum Zeitpunkt des Todes der versicherten Person nachweislich in einer Leben</w:t>
            </w:r>
            <w:r>
              <w:rPr>
                <w:b/>
                <w:i/>
                <w:sz w:val="18"/>
                <w:szCs w:val="18"/>
              </w:rPr>
              <w:t>s</w:t>
            </w:r>
            <w:r>
              <w:rPr>
                <w:b/>
                <w:i/>
                <w:sz w:val="18"/>
                <w:szCs w:val="18"/>
              </w:rPr>
              <w:t>gemeinschaft in einem gmeinsamen Haushalt gelebt und der hinterbliebene Lebenspartner muss für mindestens ein gemei</w:t>
            </w:r>
            <w:r>
              <w:rPr>
                <w:b/>
                <w:i/>
                <w:sz w:val="18"/>
                <w:szCs w:val="18"/>
              </w:rPr>
              <w:t>n</w:t>
            </w:r>
            <w:r>
              <w:rPr>
                <w:b/>
                <w:i/>
                <w:sz w:val="18"/>
                <w:szCs w:val="18"/>
              </w:rPr>
              <w:t>sames Kind aufkommen.</w:t>
            </w:r>
          </w:p>
          <w:p w:rsidR="00B82B19" w:rsidRDefault="00B82B19" w:rsidP="003D5442">
            <w:pPr>
              <w:rPr>
                <w:b/>
                <w:i/>
                <w:sz w:val="18"/>
                <w:szCs w:val="18"/>
              </w:rPr>
            </w:pPr>
          </w:p>
          <w:p w:rsidR="00B82B19" w:rsidRDefault="00B82B19" w:rsidP="003D5442">
            <w:pPr>
              <w:rPr>
                <w:b/>
                <w:i/>
                <w:sz w:val="18"/>
                <w:szCs w:val="18"/>
              </w:rPr>
            </w:pPr>
            <w:r w:rsidRPr="003D5442">
              <w:rPr>
                <w:b/>
                <w:i/>
                <w:sz w:val="18"/>
                <w:szCs w:val="18"/>
                <w:vertAlign w:val="superscript"/>
              </w:rPr>
              <w:t>3</w:t>
            </w:r>
            <w:r>
              <w:rPr>
                <w:b/>
                <w:i/>
                <w:sz w:val="18"/>
                <w:szCs w:val="18"/>
              </w:rPr>
              <w:t xml:space="preserve"> Beide Lebenspartner sind zum Zeitpunkt des Todes der vers</w:t>
            </w:r>
            <w:r>
              <w:rPr>
                <w:b/>
                <w:i/>
                <w:sz w:val="18"/>
                <w:szCs w:val="18"/>
              </w:rPr>
              <w:t>i</w:t>
            </w:r>
            <w:r>
              <w:rPr>
                <w:b/>
                <w:i/>
                <w:sz w:val="18"/>
                <w:szCs w:val="18"/>
              </w:rPr>
              <w:t>cherten Person weder verheiratet noch in einer eingetragenen oder anderen Lebenspartnerschaft.</w:t>
            </w:r>
          </w:p>
          <w:p w:rsidR="00B82B19" w:rsidRDefault="00B82B19" w:rsidP="003D5442">
            <w:pPr>
              <w:rPr>
                <w:b/>
                <w:i/>
                <w:sz w:val="18"/>
                <w:szCs w:val="18"/>
              </w:rPr>
            </w:pPr>
          </w:p>
          <w:p w:rsidR="00B82B19" w:rsidRDefault="00B82B19" w:rsidP="003D5442">
            <w:pPr>
              <w:rPr>
                <w:b/>
                <w:i/>
                <w:sz w:val="18"/>
                <w:szCs w:val="18"/>
              </w:rPr>
            </w:pPr>
            <w:r w:rsidRPr="003D5442">
              <w:rPr>
                <w:b/>
                <w:i/>
                <w:sz w:val="18"/>
                <w:szCs w:val="18"/>
                <w:vertAlign w:val="superscript"/>
              </w:rPr>
              <w:t>4</w:t>
            </w:r>
            <w:r>
              <w:rPr>
                <w:b/>
                <w:i/>
                <w:sz w:val="18"/>
                <w:szCs w:val="18"/>
              </w:rPr>
              <w:t xml:space="preserve"> Die Lebenspartner sind nicht im Sinne von Art. 95 des Schwe</w:t>
            </w:r>
            <w:r>
              <w:rPr>
                <w:b/>
                <w:i/>
                <w:sz w:val="18"/>
                <w:szCs w:val="18"/>
              </w:rPr>
              <w:t>i</w:t>
            </w:r>
            <w:r>
              <w:rPr>
                <w:b/>
                <w:i/>
                <w:sz w:val="18"/>
                <w:szCs w:val="18"/>
              </w:rPr>
              <w:t>zerischen Zivilgesetzbuches (ZGB) verwandt.</w:t>
            </w:r>
          </w:p>
          <w:p w:rsidR="00B82B19" w:rsidRDefault="00B82B19" w:rsidP="003D5442">
            <w:pPr>
              <w:rPr>
                <w:b/>
                <w:i/>
                <w:sz w:val="18"/>
                <w:szCs w:val="18"/>
              </w:rPr>
            </w:pPr>
          </w:p>
          <w:p w:rsidR="00B82B19" w:rsidRDefault="00B82B19" w:rsidP="003D5442">
            <w:pPr>
              <w:rPr>
                <w:b/>
                <w:i/>
                <w:sz w:val="18"/>
                <w:szCs w:val="18"/>
              </w:rPr>
            </w:pPr>
            <w:r w:rsidRPr="003D5442">
              <w:rPr>
                <w:b/>
                <w:i/>
                <w:sz w:val="18"/>
                <w:szCs w:val="18"/>
                <w:vertAlign w:val="superscript"/>
              </w:rPr>
              <w:t xml:space="preserve">5 </w:t>
            </w:r>
            <w:r>
              <w:rPr>
                <w:b/>
                <w:i/>
                <w:sz w:val="18"/>
                <w:szCs w:val="18"/>
              </w:rPr>
              <w:t>Der hinterbliebene Lebenspartner bezieht keine Ehegatten-, Witwen-, Witwer- oder Lebenspartnerrente aus einer vorherg</w:t>
            </w:r>
            <w:r>
              <w:rPr>
                <w:b/>
                <w:i/>
                <w:sz w:val="18"/>
                <w:szCs w:val="18"/>
              </w:rPr>
              <w:t>e</w:t>
            </w:r>
            <w:r>
              <w:rPr>
                <w:b/>
                <w:i/>
                <w:sz w:val="18"/>
                <w:szCs w:val="18"/>
              </w:rPr>
              <w:t>henden Ehe oder Lebensgemeinschaft.</w:t>
            </w:r>
          </w:p>
          <w:p w:rsidR="00B82B19" w:rsidRDefault="00B82B19" w:rsidP="003D5442">
            <w:pPr>
              <w:rPr>
                <w:b/>
                <w:i/>
                <w:sz w:val="18"/>
                <w:szCs w:val="18"/>
              </w:rPr>
            </w:pPr>
          </w:p>
          <w:p w:rsidR="00B82B19" w:rsidRDefault="00B82B19" w:rsidP="003D5442">
            <w:pPr>
              <w:rPr>
                <w:b/>
                <w:i/>
                <w:sz w:val="18"/>
                <w:szCs w:val="18"/>
              </w:rPr>
            </w:pPr>
            <w:r w:rsidRPr="00151261">
              <w:rPr>
                <w:b/>
                <w:i/>
                <w:sz w:val="18"/>
                <w:szCs w:val="18"/>
                <w:vertAlign w:val="superscript"/>
              </w:rPr>
              <w:t>6</w:t>
            </w:r>
            <w:r>
              <w:rPr>
                <w:b/>
                <w:i/>
                <w:sz w:val="18"/>
                <w:szCs w:val="18"/>
              </w:rPr>
              <w:t xml:space="preserve"> Das Formular „Anmeldung für eine Lebenspartnerrente“ wurde vollständig ausgefüllt und von beiden Lebenspartnern unte</w:t>
            </w:r>
            <w:r>
              <w:rPr>
                <w:b/>
                <w:i/>
                <w:sz w:val="18"/>
                <w:szCs w:val="18"/>
              </w:rPr>
              <w:t>r</w:t>
            </w:r>
            <w:r>
              <w:rPr>
                <w:b/>
                <w:i/>
                <w:sz w:val="18"/>
                <w:szCs w:val="18"/>
              </w:rPr>
              <w:t>schrieben vor dem Tod und vor der vollständigen Pensioni</w:t>
            </w:r>
            <w:r>
              <w:rPr>
                <w:b/>
                <w:i/>
                <w:sz w:val="18"/>
                <w:szCs w:val="18"/>
              </w:rPr>
              <w:t>e</w:t>
            </w:r>
            <w:r>
              <w:rPr>
                <w:b/>
                <w:i/>
                <w:sz w:val="18"/>
                <w:szCs w:val="18"/>
              </w:rPr>
              <w:t>rung der versicherten Person an die Pensionskasse der Stadt Olten gesandt. In begründeten Ausnahmefällen kann die Pens</w:t>
            </w:r>
            <w:r>
              <w:rPr>
                <w:b/>
                <w:i/>
                <w:sz w:val="18"/>
                <w:szCs w:val="18"/>
              </w:rPr>
              <w:t>i</w:t>
            </w:r>
            <w:r>
              <w:rPr>
                <w:b/>
                <w:i/>
                <w:sz w:val="18"/>
                <w:szCs w:val="18"/>
              </w:rPr>
              <w:t>onskasse auf die Einreichung des Anmeldeformulars verzic</w:t>
            </w:r>
            <w:r>
              <w:rPr>
                <w:b/>
                <w:i/>
                <w:sz w:val="18"/>
                <w:szCs w:val="18"/>
              </w:rPr>
              <w:t>h</w:t>
            </w:r>
            <w:r>
              <w:rPr>
                <w:b/>
                <w:i/>
                <w:sz w:val="18"/>
                <w:szCs w:val="18"/>
              </w:rPr>
              <w:t>ten.</w:t>
            </w:r>
          </w:p>
          <w:p w:rsidR="00B82B19" w:rsidRDefault="00B82B19" w:rsidP="003D5442">
            <w:pPr>
              <w:rPr>
                <w:b/>
                <w:i/>
                <w:sz w:val="18"/>
                <w:szCs w:val="18"/>
              </w:rPr>
            </w:pPr>
          </w:p>
          <w:p w:rsidR="00B82B19" w:rsidRDefault="00B82B19" w:rsidP="003D5442">
            <w:pPr>
              <w:rPr>
                <w:b/>
                <w:i/>
                <w:sz w:val="18"/>
                <w:szCs w:val="18"/>
              </w:rPr>
            </w:pPr>
            <w:r w:rsidRPr="00151261">
              <w:rPr>
                <w:b/>
                <w:i/>
                <w:sz w:val="18"/>
                <w:szCs w:val="18"/>
                <w:vertAlign w:val="superscript"/>
              </w:rPr>
              <w:t xml:space="preserve">7 </w:t>
            </w:r>
            <w:r>
              <w:rPr>
                <w:b/>
                <w:i/>
                <w:sz w:val="18"/>
                <w:szCs w:val="18"/>
              </w:rPr>
              <w:t>Die zur Prüfung des Anspruchs von der Pensionskasse der Stadt Olten einverlangten Unterlagen sind vom hinterbliebenen Lebenspartner beizubringen.</w:t>
            </w:r>
          </w:p>
          <w:p w:rsidR="00B82B19" w:rsidRDefault="00B82B19" w:rsidP="003D5442">
            <w:pPr>
              <w:rPr>
                <w:b/>
                <w:i/>
                <w:sz w:val="18"/>
                <w:szCs w:val="18"/>
              </w:rPr>
            </w:pPr>
          </w:p>
          <w:p w:rsidR="00B82B19" w:rsidRDefault="00B82B19" w:rsidP="003D5442">
            <w:pPr>
              <w:rPr>
                <w:b/>
                <w:i/>
                <w:sz w:val="18"/>
                <w:szCs w:val="18"/>
              </w:rPr>
            </w:pPr>
            <w:r w:rsidRPr="00151261">
              <w:rPr>
                <w:b/>
                <w:i/>
                <w:sz w:val="18"/>
                <w:szCs w:val="18"/>
                <w:vertAlign w:val="superscript"/>
              </w:rPr>
              <w:t>8</w:t>
            </w:r>
            <w:r>
              <w:rPr>
                <w:b/>
                <w:i/>
                <w:sz w:val="18"/>
                <w:szCs w:val="18"/>
              </w:rPr>
              <w:t xml:space="preserve"> Die Bestimmungen der Ehegattenrente gelten sinngemäss. Insbesondere sind für Lebenspartnerrenten die für Ehegatte</w:t>
            </w:r>
            <w:r>
              <w:rPr>
                <w:b/>
                <w:i/>
                <w:sz w:val="18"/>
                <w:szCs w:val="18"/>
              </w:rPr>
              <w:t>n</w:t>
            </w:r>
            <w:r>
              <w:rPr>
                <w:b/>
                <w:i/>
                <w:sz w:val="18"/>
                <w:szCs w:val="18"/>
              </w:rPr>
              <w:t>renten geltenden Kürzungsregelungen anwendbar. Bei der A</w:t>
            </w:r>
            <w:r>
              <w:rPr>
                <w:b/>
                <w:i/>
                <w:sz w:val="18"/>
                <w:szCs w:val="18"/>
              </w:rPr>
              <w:t>n</w:t>
            </w:r>
            <w:r>
              <w:rPr>
                <w:b/>
                <w:i/>
                <w:sz w:val="18"/>
                <w:szCs w:val="18"/>
              </w:rPr>
              <w:t>wendung der Kürzungsregelungen nach Ziffer 4 wird die Dauer der Lebenspartnerschaft der Dauer der Ehe gleichgestellt.</w:t>
            </w:r>
          </w:p>
          <w:p w:rsidR="00B82B19" w:rsidRPr="003D5442" w:rsidRDefault="00B82B19" w:rsidP="003D5442">
            <w:pPr>
              <w:rPr>
                <w:b/>
                <w:i/>
                <w:sz w:val="18"/>
                <w:szCs w:val="18"/>
              </w:rPr>
            </w:pP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pPr>
              <w:rPr>
                <w:rFonts w:cs="Arial"/>
                <w:sz w:val="16"/>
              </w:rPr>
            </w:pPr>
            <w:r>
              <w:rPr>
                <w:rFonts w:cs="Arial"/>
                <w:sz w:val="16"/>
              </w:rPr>
              <w:lastRenderedPageBreak/>
              <w:t>54</w:t>
            </w:r>
          </w:p>
          <w:p w:rsidR="00B82B19" w:rsidRDefault="00B82B19">
            <w:pPr>
              <w:rPr>
                <w:rFonts w:cs="Arial"/>
                <w:sz w:val="16"/>
              </w:rPr>
            </w:pPr>
          </w:p>
          <w:p w:rsidR="00B82B19" w:rsidRDefault="00B82B19">
            <w:pPr>
              <w:rPr>
                <w:rFonts w:cs="Arial"/>
                <w:sz w:val="16"/>
              </w:rPr>
            </w:pPr>
          </w:p>
          <w:p w:rsidR="00B82B19" w:rsidRDefault="00B82B19">
            <w:pPr>
              <w:rPr>
                <w:rFonts w:cs="Arial"/>
                <w:sz w:val="16"/>
              </w:rPr>
            </w:pPr>
          </w:p>
          <w:p w:rsidR="00B82B19" w:rsidRDefault="00B82B19">
            <w:pPr>
              <w:rPr>
                <w:rFonts w:cs="Arial"/>
                <w:sz w:val="16"/>
              </w:rPr>
            </w:pPr>
          </w:p>
          <w:p w:rsidR="00B82B19" w:rsidRDefault="00B82B19">
            <w:pPr>
              <w:rPr>
                <w:rFonts w:cs="Arial"/>
                <w:sz w:val="16"/>
              </w:rPr>
            </w:pPr>
          </w:p>
          <w:p w:rsidR="00B82B19" w:rsidRDefault="00B82B19">
            <w:pPr>
              <w:rPr>
                <w:rFonts w:cs="Arial"/>
                <w:sz w:val="16"/>
              </w:rPr>
            </w:pPr>
          </w:p>
        </w:tc>
        <w:tc>
          <w:tcPr>
            <w:tcW w:w="1146" w:type="dxa"/>
            <w:tcBorders>
              <w:top w:val="dotted" w:sz="6" w:space="0" w:color="auto"/>
              <w:left w:val="nil"/>
              <w:bottom w:val="dotted" w:sz="6" w:space="0" w:color="auto"/>
              <w:right w:val="dotted" w:sz="6" w:space="0" w:color="auto"/>
            </w:tcBorders>
          </w:tcPr>
          <w:p w:rsidR="00B82B19" w:rsidRDefault="00B82B19" w:rsidP="0014358C">
            <w:pPr>
              <w:rPr>
                <w:rFonts w:cs="Arial"/>
                <w:sz w:val="16"/>
              </w:rPr>
            </w:pPr>
            <w:r>
              <w:rPr>
                <w:rFonts w:cs="Arial"/>
                <w:sz w:val="16"/>
              </w:rPr>
              <w:t>Leistungen an sonstige Hinterlassene</w:t>
            </w:r>
          </w:p>
        </w:tc>
        <w:tc>
          <w:tcPr>
            <w:tcW w:w="5091" w:type="dxa"/>
            <w:tcBorders>
              <w:top w:val="dotted" w:sz="6" w:space="0" w:color="auto"/>
              <w:left w:val="nil"/>
              <w:bottom w:val="dotted" w:sz="6" w:space="0" w:color="auto"/>
              <w:right w:val="dotted" w:sz="6" w:space="0" w:color="auto"/>
            </w:tcBorders>
          </w:tcPr>
          <w:p w:rsidR="00B82B19" w:rsidRDefault="00B82B19" w:rsidP="00136BF6">
            <w:pPr>
              <w:jc w:val="both"/>
              <w:rPr>
                <w:rFonts w:cs="Arial"/>
                <w:sz w:val="18"/>
                <w:szCs w:val="18"/>
              </w:rPr>
            </w:pPr>
            <w:r w:rsidRPr="00136BF6">
              <w:rPr>
                <w:rFonts w:cs="Arial"/>
                <w:sz w:val="18"/>
                <w:szCs w:val="18"/>
                <w:vertAlign w:val="superscript"/>
              </w:rPr>
              <w:t xml:space="preserve">1 </w:t>
            </w:r>
            <w:r>
              <w:rPr>
                <w:rFonts w:cs="Arial"/>
                <w:sz w:val="18"/>
                <w:szCs w:val="18"/>
              </w:rPr>
              <w:t>Sind nach dem Tod von Aktiv Versicherten keine Leistungen gemäss Art. 44 – 51 auszurichten, besteht Anspruch auf eine Todesfallsumme in der Höhe einer maximalen einfachen AHV-Altersrente. Für Teilzeitbeschäftigte erfolgt eine anteil</w:t>
            </w:r>
            <w:r>
              <w:rPr>
                <w:rFonts w:cs="Arial"/>
                <w:sz w:val="18"/>
                <w:szCs w:val="18"/>
              </w:rPr>
              <w:t>s</w:t>
            </w:r>
            <w:r>
              <w:rPr>
                <w:rFonts w:cs="Arial"/>
                <w:sz w:val="18"/>
                <w:szCs w:val="18"/>
              </w:rPr>
              <w:t>mässige Herabsetzung.</w:t>
            </w:r>
          </w:p>
          <w:p w:rsidR="00B82B19" w:rsidRDefault="00B82B19" w:rsidP="00136BF6">
            <w:pPr>
              <w:jc w:val="both"/>
              <w:rPr>
                <w:rFonts w:cs="Arial"/>
                <w:sz w:val="18"/>
                <w:szCs w:val="18"/>
              </w:rPr>
            </w:pPr>
          </w:p>
          <w:p w:rsidR="00B82B19" w:rsidRDefault="00B82B19" w:rsidP="00136BF6">
            <w:pPr>
              <w:jc w:val="both"/>
              <w:rPr>
                <w:rFonts w:cs="Arial"/>
                <w:sz w:val="18"/>
                <w:szCs w:val="18"/>
              </w:rPr>
            </w:pPr>
            <w:r w:rsidRPr="00136BF6">
              <w:rPr>
                <w:rFonts w:cs="Arial"/>
                <w:sz w:val="18"/>
                <w:szCs w:val="18"/>
                <w:vertAlign w:val="superscript"/>
              </w:rPr>
              <w:t xml:space="preserve">2 </w:t>
            </w:r>
            <w:r>
              <w:rPr>
                <w:rFonts w:cs="Arial"/>
                <w:sz w:val="18"/>
                <w:szCs w:val="18"/>
              </w:rPr>
              <w:t>Als Begünstigte sind folgende Personen zugelassen:</w:t>
            </w:r>
          </w:p>
          <w:p w:rsidR="00B82B19" w:rsidRPr="00136BF6" w:rsidRDefault="00B82B19" w:rsidP="00136BF6">
            <w:pPr>
              <w:jc w:val="both"/>
              <w:rPr>
                <w:rFonts w:cs="Arial"/>
                <w:sz w:val="18"/>
                <w:szCs w:val="18"/>
              </w:rPr>
            </w:pPr>
            <w:r>
              <w:rPr>
                <w:rFonts w:cs="Arial"/>
                <w:sz w:val="18"/>
                <w:szCs w:val="18"/>
              </w:rPr>
              <w:t>die direkten Nachkommen sowie die natürlichen Personen, die von der verstorbenen Person in erheblichem Masse u</w:t>
            </w:r>
            <w:r>
              <w:rPr>
                <w:rFonts w:cs="Arial"/>
                <w:sz w:val="18"/>
                <w:szCs w:val="18"/>
              </w:rPr>
              <w:t>n</w:t>
            </w:r>
            <w:r>
              <w:rPr>
                <w:rFonts w:cs="Arial"/>
                <w:sz w:val="18"/>
                <w:szCs w:val="18"/>
              </w:rPr>
              <w:lastRenderedPageBreak/>
              <w:t>terstützt worden sind, oder die Person die mit dieser in den letzten fünf Jahren bis zu ihrem Tod ununterbrochen eine Lebensgemeinschaft geführt hat oder für den Unterhalt eines oder mehrerer gemeinsamer Kinder aufkommen muss.</w:t>
            </w:r>
          </w:p>
        </w:tc>
        <w:tc>
          <w:tcPr>
            <w:tcW w:w="5670" w:type="dxa"/>
            <w:tcBorders>
              <w:top w:val="dotted" w:sz="6" w:space="0" w:color="auto"/>
              <w:left w:val="nil"/>
              <w:bottom w:val="dotted" w:sz="6" w:space="0" w:color="auto"/>
              <w:right w:val="dotted" w:sz="6" w:space="0" w:color="auto"/>
            </w:tcBorders>
          </w:tcPr>
          <w:p w:rsidR="00B82B19" w:rsidRDefault="00B82B19" w:rsidP="007A0F7F">
            <w:pPr>
              <w:pStyle w:val="berschrift5"/>
              <w:rPr>
                <w:b/>
                <w:sz w:val="18"/>
                <w:szCs w:val="18"/>
              </w:rPr>
            </w:pPr>
            <w:r w:rsidRPr="00136BF6">
              <w:rPr>
                <w:b/>
                <w:sz w:val="18"/>
                <w:szCs w:val="18"/>
                <w:vertAlign w:val="superscript"/>
              </w:rPr>
              <w:lastRenderedPageBreak/>
              <w:t>1</w:t>
            </w:r>
            <w:r w:rsidRPr="00136BF6">
              <w:rPr>
                <w:b/>
                <w:sz w:val="18"/>
                <w:szCs w:val="18"/>
              </w:rPr>
              <w:t xml:space="preserve"> </w:t>
            </w:r>
            <w:r>
              <w:rPr>
                <w:b/>
                <w:sz w:val="18"/>
                <w:szCs w:val="18"/>
              </w:rPr>
              <w:t>Stirbt eine versicherte Person und entsteht kein Anspruch nach den Artikeln 44 – 51, so zahlt die Pensionskasse der Stadt Olten ein Todesfallkapital in der Höhe von 50 % vom vorhand</w:t>
            </w:r>
            <w:r>
              <w:rPr>
                <w:b/>
                <w:sz w:val="18"/>
                <w:szCs w:val="18"/>
              </w:rPr>
              <w:t>e</w:t>
            </w:r>
            <w:r>
              <w:rPr>
                <w:b/>
                <w:sz w:val="18"/>
                <w:szCs w:val="18"/>
              </w:rPr>
              <w:t>nen Deckungskapital im Zeitpunkt des Todes der versicherten Person.</w:t>
            </w:r>
          </w:p>
          <w:p w:rsidR="00B82B19" w:rsidRDefault="00B82B19" w:rsidP="007A0F7F">
            <w:pPr>
              <w:rPr>
                <w:sz w:val="18"/>
                <w:szCs w:val="18"/>
              </w:rPr>
            </w:pPr>
          </w:p>
          <w:p w:rsidR="00B82B19" w:rsidRDefault="00B82B19" w:rsidP="007A0F7F">
            <w:pPr>
              <w:rPr>
                <w:b/>
                <w:i/>
                <w:sz w:val="18"/>
                <w:szCs w:val="18"/>
              </w:rPr>
            </w:pPr>
            <w:r w:rsidRPr="007A0F7F">
              <w:rPr>
                <w:b/>
                <w:i/>
                <w:sz w:val="18"/>
                <w:szCs w:val="18"/>
                <w:vertAlign w:val="superscript"/>
              </w:rPr>
              <w:t>2</w:t>
            </w:r>
            <w:r>
              <w:rPr>
                <w:b/>
                <w:i/>
                <w:sz w:val="18"/>
                <w:szCs w:val="18"/>
              </w:rPr>
              <w:t xml:space="preserve"> Anspruchsberechtigt sind, unabhängig vom Erbrecht, in nac</w:t>
            </w:r>
            <w:r>
              <w:rPr>
                <w:b/>
                <w:i/>
                <w:sz w:val="18"/>
                <w:szCs w:val="18"/>
              </w:rPr>
              <w:t>h</w:t>
            </w:r>
            <w:r>
              <w:rPr>
                <w:b/>
                <w:i/>
                <w:sz w:val="18"/>
                <w:szCs w:val="18"/>
              </w:rPr>
              <w:t>stehender Reihenfolge:</w:t>
            </w:r>
          </w:p>
          <w:p w:rsidR="00B82B19" w:rsidRDefault="00B82B19" w:rsidP="007C1F6F">
            <w:pPr>
              <w:pStyle w:val="Listenabsatz"/>
              <w:numPr>
                <w:ilvl w:val="0"/>
                <w:numId w:val="24"/>
              </w:numPr>
              <w:rPr>
                <w:b/>
                <w:i/>
                <w:sz w:val="18"/>
                <w:szCs w:val="18"/>
              </w:rPr>
            </w:pPr>
            <w:r>
              <w:rPr>
                <w:b/>
                <w:i/>
                <w:sz w:val="18"/>
                <w:szCs w:val="18"/>
              </w:rPr>
              <w:t xml:space="preserve">Personen, die für den Unterhalt eines oder mehrerer </w:t>
            </w:r>
            <w:r>
              <w:rPr>
                <w:b/>
                <w:i/>
                <w:sz w:val="18"/>
                <w:szCs w:val="18"/>
              </w:rPr>
              <w:lastRenderedPageBreak/>
              <w:t>gemeinsamer Kinder aufkommen müssen;</w:t>
            </w:r>
          </w:p>
          <w:p w:rsidR="00B82B19" w:rsidRDefault="00B82B19" w:rsidP="007C1F6F">
            <w:pPr>
              <w:pStyle w:val="Listenabsatz"/>
              <w:numPr>
                <w:ilvl w:val="0"/>
                <w:numId w:val="24"/>
              </w:numPr>
              <w:rPr>
                <w:b/>
                <w:i/>
                <w:sz w:val="18"/>
                <w:szCs w:val="18"/>
              </w:rPr>
            </w:pPr>
            <w:r>
              <w:rPr>
                <w:b/>
                <w:i/>
                <w:sz w:val="18"/>
                <w:szCs w:val="18"/>
              </w:rPr>
              <w:t>die Kinder der versicherten Person;</w:t>
            </w:r>
          </w:p>
          <w:p w:rsidR="00B82B19" w:rsidRPr="007C1F6F" w:rsidRDefault="00B82B19" w:rsidP="007C1F6F">
            <w:pPr>
              <w:pStyle w:val="Listenabsatz"/>
              <w:numPr>
                <w:ilvl w:val="0"/>
                <w:numId w:val="24"/>
              </w:numPr>
              <w:rPr>
                <w:b/>
                <w:i/>
                <w:sz w:val="18"/>
                <w:szCs w:val="18"/>
              </w:rPr>
            </w:pPr>
            <w:r>
              <w:rPr>
                <w:b/>
                <w:i/>
                <w:sz w:val="18"/>
                <w:szCs w:val="18"/>
              </w:rPr>
              <w:t>die Eltern</w:t>
            </w:r>
            <w:r w:rsidR="007C2915">
              <w:rPr>
                <w:b/>
                <w:i/>
                <w:sz w:val="18"/>
                <w:szCs w:val="18"/>
              </w:rPr>
              <w:t>;</w:t>
            </w:r>
          </w:p>
          <w:p w:rsidR="000000C8" w:rsidRDefault="000000C8" w:rsidP="000000C8">
            <w:pPr>
              <w:pStyle w:val="Listenabsatz"/>
              <w:numPr>
                <w:ilvl w:val="0"/>
                <w:numId w:val="24"/>
              </w:numPr>
              <w:rPr>
                <w:b/>
                <w:i/>
                <w:sz w:val="18"/>
                <w:szCs w:val="18"/>
              </w:rPr>
            </w:pPr>
            <w:r>
              <w:rPr>
                <w:b/>
                <w:i/>
                <w:sz w:val="18"/>
                <w:szCs w:val="18"/>
              </w:rPr>
              <w:t>Natürliche Personen, die von der versicherten Person in erhebliche</w:t>
            </w:r>
            <w:r w:rsidR="007C2915">
              <w:rPr>
                <w:b/>
                <w:i/>
                <w:sz w:val="18"/>
                <w:szCs w:val="18"/>
              </w:rPr>
              <w:t>m Masse unterstützt worden sind.</w:t>
            </w:r>
          </w:p>
          <w:p w:rsidR="00B82B19" w:rsidRDefault="00B82B19" w:rsidP="007A0F7F">
            <w:pPr>
              <w:rPr>
                <w:b/>
                <w:i/>
                <w:sz w:val="18"/>
                <w:szCs w:val="18"/>
              </w:rPr>
            </w:pPr>
          </w:p>
          <w:p w:rsidR="00B82B19" w:rsidRDefault="00B82B19" w:rsidP="007A0F7F">
            <w:pPr>
              <w:rPr>
                <w:b/>
                <w:i/>
                <w:sz w:val="18"/>
                <w:szCs w:val="18"/>
              </w:rPr>
            </w:pPr>
            <w:r w:rsidRPr="007A0F7F">
              <w:rPr>
                <w:b/>
                <w:i/>
                <w:sz w:val="18"/>
                <w:szCs w:val="18"/>
                <w:vertAlign w:val="superscript"/>
              </w:rPr>
              <w:t xml:space="preserve">3 </w:t>
            </w:r>
            <w:r>
              <w:rPr>
                <w:b/>
                <w:i/>
                <w:sz w:val="18"/>
                <w:szCs w:val="18"/>
              </w:rPr>
              <w:t>Nicht anspruchsberechtigt sind Personen, die von einer and</w:t>
            </w:r>
            <w:r>
              <w:rPr>
                <w:b/>
                <w:i/>
                <w:sz w:val="18"/>
                <w:szCs w:val="18"/>
              </w:rPr>
              <w:t>e</w:t>
            </w:r>
            <w:r>
              <w:rPr>
                <w:b/>
                <w:i/>
                <w:sz w:val="18"/>
                <w:szCs w:val="18"/>
              </w:rPr>
              <w:t>ren Vorsorgeeinrichtung eine Ehegatten- oder Lebenspartne</w:t>
            </w:r>
            <w:r>
              <w:rPr>
                <w:b/>
                <w:i/>
                <w:sz w:val="18"/>
                <w:szCs w:val="18"/>
              </w:rPr>
              <w:t>r</w:t>
            </w:r>
            <w:r>
              <w:rPr>
                <w:b/>
                <w:i/>
                <w:sz w:val="18"/>
                <w:szCs w:val="18"/>
              </w:rPr>
              <w:t>rente beziehen.</w:t>
            </w:r>
          </w:p>
          <w:p w:rsidR="00B82B19" w:rsidRDefault="00B82B19" w:rsidP="007A0F7F">
            <w:pPr>
              <w:rPr>
                <w:b/>
                <w:i/>
                <w:sz w:val="18"/>
                <w:szCs w:val="18"/>
              </w:rPr>
            </w:pPr>
          </w:p>
          <w:p w:rsidR="00B82B19" w:rsidRDefault="00B82B19" w:rsidP="007A0F7F">
            <w:pPr>
              <w:rPr>
                <w:b/>
                <w:i/>
                <w:sz w:val="18"/>
                <w:szCs w:val="18"/>
              </w:rPr>
            </w:pPr>
            <w:r w:rsidRPr="007C1F6F">
              <w:rPr>
                <w:b/>
                <w:i/>
                <w:sz w:val="18"/>
                <w:szCs w:val="18"/>
                <w:vertAlign w:val="superscript"/>
              </w:rPr>
              <w:t>4</w:t>
            </w:r>
            <w:r>
              <w:rPr>
                <w:b/>
                <w:i/>
                <w:sz w:val="18"/>
                <w:szCs w:val="18"/>
              </w:rPr>
              <w:t xml:space="preserve"> Das Todesfallkapital steht mehreren Anspruchsberechtigten derselben Begünstigtengruppe zu gleichen Teilen zu.</w:t>
            </w:r>
          </w:p>
          <w:p w:rsidR="00B82B19" w:rsidRDefault="00B82B19" w:rsidP="007A0F7F">
            <w:pPr>
              <w:rPr>
                <w:b/>
                <w:i/>
                <w:sz w:val="18"/>
                <w:szCs w:val="18"/>
              </w:rPr>
            </w:pPr>
          </w:p>
          <w:p w:rsidR="00B82B19" w:rsidRDefault="00B82B19" w:rsidP="007A0F7F">
            <w:pPr>
              <w:rPr>
                <w:b/>
                <w:i/>
                <w:sz w:val="18"/>
                <w:szCs w:val="18"/>
              </w:rPr>
            </w:pPr>
            <w:r w:rsidRPr="007C1F6F">
              <w:rPr>
                <w:b/>
                <w:i/>
                <w:sz w:val="18"/>
                <w:szCs w:val="18"/>
                <w:vertAlign w:val="superscript"/>
              </w:rPr>
              <w:t xml:space="preserve">5 </w:t>
            </w:r>
            <w:r>
              <w:rPr>
                <w:b/>
                <w:i/>
                <w:sz w:val="18"/>
                <w:szCs w:val="18"/>
              </w:rPr>
              <w:t>Ausgeschlossen sind Personen, die gemäss Art. 540 ZGB für erbunwürdig erklärt werden.</w:t>
            </w:r>
          </w:p>
          <w:p w:rsidR="00B82B19" w:rsidRDefault="00B82B19" w:rsidP="007A0F7F">
            <w:pPr>
              <w:rPr>
                <w:b/>
                <w:i/>
                <w:sz w:val="18"/>
                <w:szCs w:val="18"/>
              </w:rPr>
            </w:pPr>
          </w:p>
          <w:p w:rsidR="00B82B19" w:rsidRPr="007A0F7F" w:rsidRDefault="00B82B19" w:rsidP="007A0F7F">
            <w:pPr>
              <w:rPr>
                <w:b/>
                <w:i/>
                <w:sz w:val="18"/>
                <w:szCs w:val="18"/>
              </w:rPr>
            </w:pPr>
            <w:r w:rsidRPr="007C1F6F">
              <w:rPr>
                <w:b/>
                <w:i/>
                <w:sz w:val="18"/>
                <w:szCs w:val="18"/>
                <w:vertAlign w:val="superscript"/>
              </w:rPr>
              <w:t>6</w:t>
            </w:r>
            <w:r>
              <w:rPr>
                <w:b/>
                <w:i/>
                <w:sz w:val="18"/>
                <w:szCs w:val="18"/>
              </w:rPr>
              <w:t xml:space="preserve"> Werden innerhalb eines Jahres seit dem Tod der versicherten Person keine Ansprüche geltend gemacht, so verfällt das T</w:t>
            </w:r>
            <w:r>
              <w:rPr>
                <w:b/>
                <w:i/>
                <w:sz w:val="18"/>
                <w:szCs w:val="18"/>
              </w:rPr>
              <w:t>o</w:t>
            </w:r>
            <w:r>
              <w:rPr>
                <w:b/>
                <w:i/>
                <w:sz w:val="18"/>
                <w:szCs w:val="18"/>
              </w:rPr>
              <w:t>desfallkapital der Pensionskasse der Stadt Olten.</w:t>
            </w:r>
          </w:p>
          <w:p w:rsidR="00B82B19" w:rsidRPr="007A0F7F" w:rsidRDefault="00B82B19" w:rsidP="007A0F7F"/>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Pr="0014358C" w:rsidRDefault="00B82B19" w:rsidP="00ED5C7E">
            <w:pPr>
              <w:rPr>
                <w:rFonts w:cs="Arial"/>
                <w:b/>
                <w:sz w:val="16"/>
              </w:rPr>
            </w:pPr>
            <w:r w:rsidRPr="0014358C">
              <w:rPr>
                <w:rFonts w:cs="Arial"/>
                <w:b/>
                <w:sz w:val="16"/>
              </w:rPr>
              <w:lastRenderedPageBreak/>
              <w:t>neu</w:t>
            </w:r>
          </w:p>
          <w:p w:rsidR="00B82B19" w:rsidRDefault="00B82B19" w:rsidP="00ED5C7E">
            <w:pPr>
              <w:rPr>
                <w:rFonts w:cs="Arial"/>
                <w:sz w:val="16"/>
              </w:rPr>
            </w:pPr>
            <w:r>
              <w:rPr>
                <w:rFonts w:cs="Arial"/>
                <w:sz w:val="16"/>
              </w:rPr>
              <w:t>57 Abs. 2</w:t>
            </w:r>
          </w:p>
          <w:p w:rsidR="00B82B19" w:rsidRDefault="00B82B19" w:rsidP="00ED5C7E">
            <w:pPr>
              <w:rPr>
                <w:rFonts w:cs="Arial"/>
                <w:sz w:val="16"/>
              </w:rPr>
            </w:pPr>
            <w:r>
              <w:rPr>
                <w:rFonts w:cs="Arial"/>
                <w:sz w:val="16"/>
              </w:rPr>
              <w:t>m)</w:t>
            </w:r>
          </w:p>
          <w:p w:rsidR="00B82B19" w:rsidRDefault="00B82B19" w:rsidP="00ED5C7E">
            <w:pPr>
              <w:rPr>
                <w:rFonts w:cs="Arial"/>
                <w:sz w:val="16"/>
              </w:rPr>
            </w:pPr>
          </w:p>
        </w:tc>
        <w:tc>
          <w:tcPr>
            <w:tcW w:w="1146" w:type="dxa"/>
            <w:tcBorders>
              <w:top w:val="dotted" w:sz="6" w:space="0" w:color="auto"/>
              <w:left w:val="nil"/>
              <w:bottom w:val="dotted" w:sz="6" w:space="0" w:color="auto"/>
              <w:right w:val="dotted" w:sz="6" w:space="0" w:color="auto"/>
            </w:tcBorders>
          </w:tcPr>
          <w:p w:rsidR="00B82B19" w:rsidRDefault="00B82B19" w:rsidP="00ED5C7E">
            <w:pPr>
              <w:rPr>
                <w:rFonts w:cs="Arial"/>
                <w:sz w:val="16"/>
              </w:rPr>
            </w:pPr>
            <w:r>
              <w:rPr>
                <w:rFonts w:cs="Arial"/>
                <w:sz w:val="16"/>
              </w:rPr>
              <w:t>Aufgaben der Pension</w:t>
            </w:r>
            <w:r>
              <w:rPr>
                <w:rFonts w:cs="Arial"/>
                <w:sz w:val="16"/>
              </w:rPr>
              <w:t>s</w:t>
            </w:r>
            <w:r>
              <w:rPr>
                <w:rFonts w:cs="Arial"/>
                <w:sz w:val="16"/>
              </w:rPr>
              <w:t>kommission</w:t>
            </w:r>
          </w:p>
        </w:tc>
        <w:tc>
          <w:tcPr>
            <w:tcW w:w="5091" w:type="dxa"/>
            <w:tcBorders>
              <w:top w:val="dotted" w:sz="6" w:space="0" w:color="auto"/>
              <w:left w:val="nil"/>
              <w:bottom w:val="dotted" w:sz="6" w:space="0" w:color="auto"/>
              <w:right w:val="dotted" w:sz="6" w:space="0" w:color="auto"/>
            </w:tcBorders>
          </w:tcPr>
          <w:p w:rsidR="00B82B19" w:rsidRDefault="00B82B19" w:rsidP="00ED5C7E">
            <w:pPr>
              <w:jc w:val="both"/>
              <w:rPr>
                <w:rFonts w:cs="Arial"/>
              </w:rPr>
            </w:pPr>
          </w:p>
        </w:tc>
        <w:tc>
          <w:tcPr>
            <w:tcW w:w="5670" w:type="dxa"/>
            <w:tcBorders>
              <w:top w:val="dotted" w:sz="6" w:space="0" w:color="auto"/>
              <w:left w:val="nil"/>
              <w:bottom w:val="dotted" w:sz="6" w:space="0" w:color="auto"/>
              <w:right w:val="dotted" w:sz="6" w:space="0" w:color="auto"/>
            </w:tcBorders>
          </w:tcPr>
          <w:p w:rsidR="00B82B19" w:rsidRDefault="00B82B19" w:rsidP="00ED5C7E">
            <w:pPr>
              <w:jc w:val="both"/>
              <w:rPr>
                <w:rFonts w:cs="Arial"/>
                <w:b/>
                <w:bCs/>
                <w:i/>
                <w:iCs/>
                <w:sz w:val="18"/>
              </w:rPr>
            </w:pPr>
            <w:r>
              <w:rPr>
                <w:rFonts w:cs="Arial"/>
                <w:b/>
                <w:bCs/>
                <w:i/>
                <w:iCs/>
                <w:sz w:val="18"/>
              </w:rPr>
              <w:t>m )  Festlegung der versicherungstechnischen Grundlage und der damit verbundenen Anpassungen der Anhänge 1, Tabellen A - C</w:t>
            </w:r>
          </w:p>
          <w:p w:rsidR="00B82B19" w:rsidRDefault="00B82B19" w:rsidP="00ED5C7E"/>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Pr="0014358C" w:rsidRDefault="00B82B19" w:rsidP="00ED5C7E">
            <w:pPr>
              <w:rPr>
                <w:rFonts w:cs="Arial"/>
                <w:b/>
                <w:sz w:val="16"/>
              </w:rPr>
            </w:pPr>
            <w:r w:rsidRPr="0014358C">
              <w:rPr>
                <w:rFonts w:cs="Arial"/>
                <w:b/>
                <w:sz w:val="16"/>
              </w:rPr>
              <w:t>neu</w:t>
            </w:r>
          </w:p>
          <w:p w:rsidR="00B82B19" w:rsidRDefault="00B82B19" w:rsidP="00ED5C7E">
            <w:pPr>
              <w:rPr>
                <w:rFonts w:cs="Arial"/>
                <w:sz w:val="16"/>
              </w:rPr>
            </w:pPr>
            <w:r>
              <w:rPr>
                <w:rFonts w:cs="Arial"/>
                <w:sz w:val="16"/>
              </w:rPr>
              <w:t>57 Abs. 2</w:t>
            </w:r>
          </w:p>
          <w:p w:rsidR="00B82B19" w:rsidRDefault="00B82B19" w:rsidP="00ED5C7E">
            <w:pPr>
              <w:rPr>
                <w:rFonts w:cs="Arial"/>
                <w:sz w:val="16"/>
              </w:rPr>
            </w:pPr>
            <w:r>
              <w:rPr>
                <w:rFonts w:cs="Arial"/>
                <w:sz w:val="16"/>
              </w:rPr>
              <w:t>n)</w:t>
            </w:r>
          </w:p>
        </w:tc>
        <w:tc>
          <w:tcPr>
            <w:tcW w:w="1146" w:type="dxa"/>
            <w:tcBorders>
              <w:top w:val="dotted" w:sz="6" w:space="0" w:color="auto"/>
              <w:left w:val="nil"/>
              <w:bottom w:val="dotted" w:sz="6" w:space="0" w:color="auto"/>
              <w:right w:val="dotted" w:sz="6" w:space="0" w:color="auto"/>
            </w:tcBorders>
          </w:tcPr>
          <w:p w:rsidR="00B82B19" w:rsidRDefault="00B82B19" w:rsidP="00ED5C7E">
            <w:pPr>
              <w:rPr>
                <w:rFonts w:cs="Arial"/>
                <w:sz w:val="16"/>
              </w:rPr>
            </w:pPr>
            <w:r>
              <w:rPr>
                <w:rFonts w:cs="Arial"/>
                <w:sz w:val="16"/>
              </w:rPr>
              <w:t>Aufgaben der Pension</w:t>
            </w:r>
            <w:r>
              <w:rPr>
                <w:rFonts w:cs="Arial"/>
                <w:sz w:val="16"/>
              </w:rPr>
              <w:t>s</w:t>
            </w:r>
            <w:r>
              <w:rPr>
                <w:rFonts w:cs="Arial"/>
                <w:sz w:val="16"/>
              </w:rPr>
              <w:t>kommission</w:t>
            </w:r>
          </w:p>
        </w:tc>
        <w:tc>
          <w:tcPr>
            <w:tcW w:w="5091" w:type="dxa"/>
            <w:tcBorders>
              <w:top w:val="dotted" w:sz="6" w:space="0" w:color="auto"/>
              <w:left w:val="nil"/>
              <w:bottom w:val="dotted" w:sz="6" w:space="0" w:color="auto"/>
              <w:right w:val="dotted" w:sz="6" w:space="0" w:color="auto"/>
            </w:tcBorders>
          </w:tcPr>
          <w:p w:rsidR="00B82B19" w:rsidRDefault="00B82B19" w:rsidP="00ED5C7E">
            <w:pPr>
              <w:jc w:val="both"/>
              <w:rPr>
                <w:rFonts w:cs="Arial"/>
                <w:sz w:val="18"/>
              </w:rPr>
            </w:pPr>
          </w:p>
        </w:tc>
        <w:tc>
          <w:tcPr>
            <w:tcW w:w="5670" w:type="dxa"/>
            <w:tcBorders>
              <w:top w:val="dotted" w:sz="6" w:space="0" w:color="auto"/>
              <w:left w:val="nil"/>
              <w:bottom w:val="dotted" w:sz="6" w:space="0" w:color="auto"/>
              <w:right w:val="dotted" w:sz="6" w:space="0" w:color="auto"/>
            </w:tcBorders>
          </w:tcPr>
          <w:p w:rsidR="00B82B19" w:rsidRPr="0014358C" w:rsidRDefault="00B82B19" w:rsidP="00ED5C7E">
            <w:pPr>
              <w:jc w:val="both"/>
              <w:rPr>
                <w:rFonts w:cs="Arial"/>
                <w:b/>
                <w:i/>
                <w:sz w:val="18"/>
              </w:rPr>
            </w:pPr>
            <w:r>
              <w:rPr>
                <w:rFonts w:cs="Arial"/>
                <w:b/>
                <w:i/>
                <w:sz w:val="18"/>
              </w:rPr>
              <w:t>n)  Festlegung des versicherungstechnischen Zinssatzes und der damit verbundenen Anpassung der Anhänge</w:t>
            </w:r>
          </w:p>
        </w:tc>
      </w:tr>
      <w:tr w:rsidR="00B82B19" w:rsidTr="00406524">
        <w:tc>
          <w:tcPr>
            <w:tcW w:w="637" w:type="dxa"/>
            <w:tcBorders>
              <w:top w:val="dotted" w:sz="6" w:space="0" w:color="auto"/>
              <w:left w:val="dotted" w:sz="6" w:space="0" w:color="auto"/>
              <w:bottom w:val="dotted" w:sz="6" w:space="0" w:color="auto"/>
              <w:right w:val="dotted" w:sz="6" w:space="0" w:color="auto"/>
            </w:tcBorders>
          </w:tcPr>
          <w:p w:rsidR="00B82B19" w:rsidRDefault="00B82B19">
            <w:pPr>
              <w:rPr>
                <w:rFonts w:cs="Arial"/>
                <w:sz w:val="16"/>
              </w:rPr>
            </w:pPr>
          </w:p>
        </w:tc>
        <w:tc>
          <w:tcPr>
            <w:tcW w:w="1146" w:type="dxa"/>
            <w:tcBorders>
              <w:top w:val="dotted" w:sz="6" w:space="0" w:color="auto"/>
              <w:left w:val="nil"/>
              <w:bottom w:val="dotted" w:sz="6" w:space="0" w:color="auto"/>
              <w:right w:val="dotted" w:sz="6" w:space="0" w:color="auto"/>
            </w:tcBorders>
          </w:tcPr>
          <w:p w:rsidR="00B82B19" w:rsidRDefault="00B82B19">
            <w:pPr>
              <w:rPr>
                <w:rFonts w:cs="Arial"/>
                <w:sz w:val="16"/>
              </w:rPr>
            </w:pPr>
          </w:p>
        </w:tc>
        <w:tc>
          <w:tcPr>
            <w:tcW w:w="5091" w:type="dxa"/>
            <w:tcBorders>
              <w:top w:val="dotted" w:sz="6" w:space="0" w:color="auto"/>
              <w:left w:val="nil"/>
              <w:bottom w:val="dotted" w:sz="6" w:space="0" w:color="auto"/>
              <w:right w:val="dotted" w:sz="6" w:space="0" w:color="auto"/>
            </w:tcBorders>
          </w:tcPr>
          <w:p w:rsidR="00B82B19" w:rsidRDefault="00B82B19">
            <w:pPr>
              <w:jc w:val="both"/>
              <w:rPr>
                <w:rFonts w:cs="Arial"/>
                <w:sz w:val="18"/>
              </w:rPr>
            </w:pPr>
          </w:p>
        </w:tc>
        <w:tc>
          <w:tcPr>
            <w:tcW w:w="5670" w:type="dxa"/>
            <w:tcBorders>
              <w:top w:val="dotted" w:sz="6" w:space="0" w:color="auto"/>
              <w:left w:val="nil"/>
              <w:bottom w:val="dotted" w:sz="6" w:space="0" w:color="auto"/>
              <w:right w:val="dotted" w:sz="6" w:space="0" w:color="auto"/>
            </w:tcBorders>
          </w:tcPr>
          <w:p w:rsidR="00B82B19" w:rsidRDefault="00B82B19">
            <w:pPr>
              <w:jc w:val="both"/>
              <w:rPr>
                <w:rFonts w:cs="Arial"/>
                <w:b/>
                <w:bCs/>
                <w:i/>
                <w:iCs/>
                <w:sz w:val="18"/>
              </w:rPr>
            </w:pPr>
          </w:p>
        </w:tc>
      </w:tr>
    </w:tbl>
    <w:p w:rsidR="00F61DDB" w:rsidRDefault="00F61DDB">
      <w:pPr>
        <w:pStyle w:val="Funotentext"/>
        <w:rPr>
          <w:rFonts w:ascii="Arial" w:hAnsi="Arial" w:cs="Arial"/>
        </w:rPr>
      </w:pPr>
    </w:p>
    <w:sectPr w:rsidR="00F61DDB" w:rsidSect="00F37882">
      <w:footerReference w:type="default" r:id="rId8"/>
      <w:pgSz w:w="16840" w:h="11907" w:orient="landscape" w:code="9"/>
      <w:pgMar w:top="964" w:right="1418" w:bottom="964" w:left="1134" w:header="720" w:footer="720" w:gutter="0"/>
      <w:cols w:space="720" w:equalWidth="0">
        <w:col w:w="142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19" w:rsidRDefault="00B82B19">
      <w:r>
        <w:separator/>
      </w:r>
    </w:p>
  </w:endnote>
  <w:endnote w:type="continuationSeparator" w:id="0">
    <w:p w:rsidR="00B82B19" w:rsidRDefault="00B8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19" w:rsidRDefault="00C43053">
    <w:pPr>
      <w:pStyle w:val="Fuzeile"/>
      <w:jc w:val="right"/>
    </w:pPr>
    <w:r>
      <w:rPr>
        <w:rStyle w:val="Seitenzahl"/>
      </w:rPr>
      <w:fldChar w:fldCharType="begin"/>
    </w:r>
    <w:r w:rsidR="00B82B19">
      <w:rPr>
        <w:rStyle w:val="Seitenzahl"/>
      </w:rPr>
      <w:instrText xml:space="preserve"> PAGE </w:instrText>
    </w:r>
    <w:r>
      <w:rPr>
        <w:rStyle w:val="Seitenzahl"/>
      </w:rPr>
      <w:fldChar w:fldCharType="separate"/>
    </w:r>
    <w:r w:rsidR="009677BA">
      <w:rPr>
        <w:rStyle w:val="Seitenzahl"/>
        <w:noProof/>
      </w:rPr>
      <w:t>2</w:t>
    </w:r>
    <w:r>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19" w:rsidRDefault="00B82B19">
      <w:r>
        <w:separator/>
      </w:r>
    </w:p>
  </w:footnote>
  <w:footnote w:type="continuationSeparator" w:id="0">
    <w:p w:rsidR="00B82B19" w:rsidRDefault="00B82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30ACA96"/>
    <w:lvl w:ilvl="0">
      <w:start w:val="1"/>
      <w:numFmt w:val="decimal"/>
      <w:lvlText w:val="%1."/>
      <w:lvlJc w:val="left"/>
      <w:pPr>
        <w:tabs>
          <w:tab w:val="num" w:pos="926"/>
        </w:tabs>
        <w:ind w:left="926" w:hanging="360"/>
      </w:pPr>
    </w:lvl>
  </w:abstractNum>
  <w:abstractNum w:abstractNumId="1">
    <w:nsid w:val="FFFFFF89"/>
    <w:multiLevelType w:val="singleLevel"/>
    <w:tmpl w:val="1F80EAA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809EB892"/>
    <w:lvl w:ilvl="0">
      <w:numFmt w:val="decimal"/>
      <w:lvlText w:val="*"/>
      <w:lvlJc w:val="left"/>
    </w:lvl>
  </w:abstractNum>
  <w:abstractNum w:abstractNumId="3">
    <w:nsid w:val="0C746A22"/>
    <w:multiLevelType w:val="hybridMultilevel"/>
    <w:tmpl w:val="40B82530"/>
    <w:lvl w:ilvl="0" w:tplc="04070007">
      <w:start w:val="1"/>
      <w:numFmt w:val="bullet"/>
      <w:lvlText w:val="-"/>
      <w:lvlJc w:val="left"/>
      <w:pPr>
        <w:tabs>
          <w:tab w:val="num" w:pos="720"/>
        </w:tabs>
        <w:ind w:left="720" w:hanging="360"/>
      </w:pPr>
      <w:rPr>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1C85FCE"/>
    <w:multiLevelType w:val="hybridMultilevel"/>
    <w:tmpl w:val="40B8253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FBB7927"/>
    <w:multiLevelType w:val="hybridMultilevel"/>
    <w:tmpl w:val="62B676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28377B5A"/>
    <w:multiLevelType w:val="singleLevel"/>
    <w:tmpl w:val="F5BCF41A"/>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7">
    <w:nsid w:val="29A67CCB"/>
    <w:multiLevelType w:val="hybridMultilevel"/>
    <w:tmpl w:val="3ED4D2B0"/>
    <w:lvl w:ilvl="0" w:tplc="40EAD844">
      <w:start w:val="1"/>
      <w:numFmt w:val="lowerLetter"/>
      <w:lvlText w:val="%1)"/>
      <w:lvlJc w:val="left"/>
      <w:pPr>
        <w:tabs>
          <w:tab w:val="num" w:pos="1065"/>
        </w:tabs>
        <w:ind w:left="1065" w:hanging="705"/>
      </w:pPr>
      <w:rPr>
        <w:rFonts w:hint="default"/>
        <w:sz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F015B9F"/>
    <w:multiLevelType w:val="hybridMultilevel"/>
    <w:tmpl w:val="6F546BE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57B5220"/>
    <w:multiLevelType w:val="hybridMultilevel"/>
    <w:tmpl w:val="DC982F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48ED67ED"/>
    <w:multiLevelType w:val="hybridMultilevel"/>
    <w:tmpl w:val="C00E88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C8D7EBC"/>
    <w:multiLevelType w:val="hybridMultilevel"/>
    <w:tmpl w:val="DDFA723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DD078BF"/>
    <w:multiLevelType w:val="hybridMultilevel"/>
    <w:tmpl w:val="FC283AE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DE4665C"/>
    <w:multiLevelType w:val="hybridMultilevel"/>
    <w:tmpl w:val="7D62AA4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09F3549"/>
    <w:multiLevelType w:val="hybridMultilevel"/>
    <w:tmpl w:val="DE74876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6054E55"/>
    <w:multiLevelType w:val="hybridMultilevel"/>
    <w:tmpl w:val="96CC7CF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nsid w:val="5FA041C3"/>
    <w:multiLevelType w:val="hybridMultilevel"/>
    <w:tmpl w:val="2CB43EAE"/>
    <w:lvl w:ilvl="0" w:tplc="04070017">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2AE0B42"/>
    <w:multiLevelType w:val="hybridMultilevel"/>
    <w:tmpl w:val="A3708F9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67F90772"/>
    <w:multiLevelType w:val="hybridMultilevel"/>
    <w:tmpl w:val="C5CCDB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8682842"/>
    <w:multiLevelType w:val="hybridMultilevel"/>
    <w:tmpl w:val="91CA875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DE66C1C"/>
    <w:multiLevelType w:val="hybridMultilevel"/>
    <w:tmpl w:val="63BCA9E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D3658FB"/>
    <w:multiLevelType w:val="hybridMultilevel"/>
    <w:tmpl w:val="F51611B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6"/>
  </w:num>
  <w:num w:numId="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5">
    <w:abstractNumId w:val="15"/>
  </w:num>
  <w:num w:numId="6">
    <w:abstractNumId w:val="8"/>
  </w:num>
  <w:num w:numId="7">
    <w:abstractNumId w:val="13"/>
  </w:num>
  <w:num w:numId="8">
    <w:abstractNumId w:val="0"/>
  </w:num>
  <w:num w:numId="9">
    <w:abstractNumId w:val="4"/>
  </w:num>
  <w:num w:numId="10">
    <w:abstractNumId w:val="3"/>
  </w:num>
  <w:num w:numId="11">
    <w:abstractNumId w:val="1"/>
  </w:num>
  <w:num w:numId="12">
    <w:abstractNumId w:val="14"/>
  </w:num>
  <w:num w:numId="13">
    <w:abstractNumId w:val="20"/>
  </w:num>
  <w:num w:numId="14">
    <w:abstractNumId w:val="10"/>
  </w:num>
  <w:num w:numId="15">
    <w:abstractNumId w:val="11"/>
  </w:num>
  <w:num w:numId="16">
    <w:abstractNumId w:val="16"/>
  </w:num>
  <w:num w:numId="17">
    <w:abstractNumId w:val="21"/>
  </w:num>
  <w:num w:numId="18">
    <w:abstractNumId w:val="18"/>
  </w:num>
  <w:num w:numId="19">
    <w:abstractNumId w:val="7"/>
  </w:num>
  <w:num w:numId="20">
    <w:abstractNumId w:val="12"/>
  </w:num>
  <w:num w:numId="21">
    <w:abstractNumId w:val="19"/>
  </w:num>
  <w:num w:numId="22">
    <w:abstractNumId w:val="9"/>
  </w:num>
  <w:num w:numId="23">
    <w:abstractNumId w:val="1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FA6BA9"/>
    <w:rsid w:val="000000C8"/>
    <w:rsid w:val="0001300C"/>
    <w:rsid w:val="00023AC0"/>
    <w:rsid w:val="000528B8"/>
    <w:rsid w:val="00136BF6"/>
    <w:rsid w:val="0014358C"/>
    <w:rsid w:val="00151261"/>
    <w:rsid w:val="0015167F"/>
    <w:rsid w:val="001800FB"/>
    <w:rsid w:val="001C683E"/>
    <w:rsid w:val="00203D37"/>
    <w:rsid w:val="002C1A2B"/>
    <w:rsid w:val="002D1518"/>
    <w:rsid w:val="003048B3"/>
    <w:rsid w:val="003069AB"/>
    <w:rsid w:val="0033328D"/>
    <w:rsid w:val="0038046B"/>
    <w:rsid w:val="003A40F3"/>
    <w:rsid w:val="003D5442"/>
    <w:rsid w:val="003E0926"/>
    <w:rsid w:val="00406524"/>
    <w:rsid w:val="004661B3"/>
    <w:rsid w:val="005356B6"/>
    <w:rsid w:val="00550BCB"/>
    <w:rsid w:val="005A6AF8"/>
    <w:rsid w:val="005B36A3"/>
    <w:rsid w:val="00671EA5"/>
    <w:rsid w:val="006726F8"/>
    <w:rsid w:val="006E232D"/>
    <w:rsid w:val="00705C74"/>
    <w:rsid w:val="00757A7C"/>
    <w:rsid w:val="007A0F7F"/>
    <w:rsid w:val="007B0F90"/>
    <w:rsid w:val="007C1F6F"/>
    <w:rsid w:val="007C2915"/>
    <w:rsid w:val="007F006F"/>
    <w:rsid w:val="008365EA"/>
    <w:rsid w:val="008A2230"/>
    <w:rsid w:val="008B0232"/>
    <w:rsid w:val="00943477"/>
    <w:rsid w:val="009677BA"/>
    <w:rsid w:val="009C6855"/>
    <w:rsid w:val="00A30F97"/>
    <w:rsid w:val="00B518B2"/>
    <w:rsid w:val="00B82B19"/>
    <w:rsid w:val="00BE6600"/>
    <w:rsid w:val="00BF6765"/>
    <w:rsid w:val="00C07560"/>
    <w:rsid w:val="00C36D59"/>
    <w:rsid w:val="00C43053"/>
    <w:rsid w:val="00C74F7A"/>
    <w:rsid w:val="00D020A2"/>
    <w:rsid w:val="00DA1AC9"/>
    <w:rsid w:val="00E736ED"/>
    <w:rsid w:val="00EC3928"/>
    <w:rsid w:val="00ED27B5"/>
    <w:rsid w:val="00ED5C7E"/>
    <w:rsid w:val="00EF07F2"/>
    <w:rsid w:val="00F036B8"/>
    <w:rsid w:val="00F06071"/>
    <w:rsid w:val="00F37882"/>
    <w:rsid w:val="00F61DDB"/>
    <w:rsid w:val="00F71A79"/>
    <w:rsid w:val="00FA6BA9"/>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7882"/>
    <w:pPr>
      <w:overflowPunct w:val="0"/>
      <w:autoSpaceDE w:val="0"/>
      <w:autoSpaceDN w:val="0"/>
      <w:adjustRightInd w:val="0"/>
      <w:textAlignment w:val="baseline"/>
    </w:pPr>
    <w:rPr>
      <w:rFonts w:ascii="Arial" w:hAnsi="Arial"/>
      <w:lang w:eastAsia="de-DE"/>
    </w:rPr>
  </w:style>
  <w:style w:type="paragraph" w:styleId="berschrift1">
    <w:name w:val="heading 1"/>
    <w:basedOn w:val="Standard"/>
    <w:next w:val="Standard"/>
    <w:qFormat/>
    <w:rsid w:val="00F37882"/>
    <w:pPr>
      <w:keepNext/>
      <w:spacing w:before="240" w:after="60"/>
      <w:outlineLvl w:val="0"/>
    </w:pPr>
    <w:rPr>
      <w:b/>
      <w:kern w:val="28"/>
      <w:sz w:val="28"/>
    </w:rPr>
  </w:style>
  <w:style w:type="paragraph" w:styleId="berschrift2">
    <w:name w:val="heading 2"/>
    <w:basedOn w:val="Standard"/>
    <w:next w:val="Standard"/>
    <w:qFormat/>
    <w:rsid w:val="00F37882"/>
    <w:pPr>
      <w:keepNext/>
      <w:spacing w:before="240" w:after="60"/>
      <w:outlineLvl w:val="1"/>
    </w:pPr>
    <w:rPr>
      <w:b/>
      <w:i/>
      <w:sz w:val="24"/>
    </w:rPr>
  </w:style>
  <w:style w:type="paragraph" w:styleId="berschrift3">
    <w:name w:val="heading 3"/>
    <w:basedOn w:val="Standard"/>
    <w:next w:val="Standard"/>
    <w:qFormat/>
    <w:rsid w:val="00F37882"/>
    <w:pPr>
      <w:keepNext/>
      <w:shd w:val="pct10" w:color="auto" w:fill="auto"/>
      <w:outlineLvl w:val="2"/>
    </w:pPr>
    <w:rPr>
      <w:rFonts w:cs="Arial"/>
      <w:sz w:val="28"/>
    </w:rPr>
  </w:style>
  <w:style w:type="paragraph" w:styleId="berschrift4">
    <w:name w:val="heading 4"/>
    <w:basedOn w:val="Standard"/>
    <w:next w:val="Standard"/>
    <w:qFormat/>
    <w:rsid w:val="00F37882"/>
    <w:pPr>
      <w:keepNext/>
      <w:shd w:val="pct10" w:color="auto" w:fill="auto"/>
      <w:outlineLvl w:val="3"/>
    </w:pPr>
    <w:rPr>
      <w:rFonts w:cs="Arial"/>
      <w:sz w:val="24"/>
      <w:lang w:val="fr-FR"/>
    </w:rPr>
  </w:style>
  <w:style w:type="paragraph" w:styleId="berschrift5">
    <w:name w:val="heading 5"/>
    <w:basedOn w:val="Standard"/>
    <w:next w:val="Standard"/>
    <w:qFormat/>
    <w:rsid w:val="00F37882"/>
    <w:pPr>
      <w:keepNext/>
      <w:jc w:val="both"/>
      <w:outlineLvl w:val="4"/>
    </w:pPr>
    <w:rPr>
      <w:rFonts w:cs="Arial"/>
      <w:i/>
      <w:iCs/>
    </w:rPr>
  </w:style>
  <w:style w:type="paragraph" w:styleId="berschrift6">
    <w:name w:val="heading 6"/>
    <w:basedOn w:val="Standard"/>
    <w:next w:val="Standard"/>
    <w:qFormat/>
    <w:rsid w:val="00F37882"/>
    <w:pPr>
      <w:keepNext/>
      <w:jc w:val="both"/>
      <w:outlineLvl w:val="5"/>
    </w:pPr>
    <w:rPr>
      <w:rFonts w:cs="Arial"/>
      <w:b/>
      <w:bCs/>
      <w:i/>
      <w:iCs/>
    </w:rPr>
  </w:style>
  <w:style w:type="paragraph" w:styleId="berschrift7">
    <w:name w:val="heading 7"/>
    <w:basedOn w:val="Standard"/>
    <w:next w:val="Standard"/>
    <w:qFormat/>
    <w:rsid w:val="00F37882"/>
    <w:pPr>
      <w:keepNext/>
      <w:jc w:val="both"/>
      <w:outlineLvl w:val="6"/>
    </w:pPr>
    <w:rPr>
      <w:rFonts w:cs="Arial"/>
      <w:b/>
      <w:bCs/>
      <w:sz w:val="18"/>
    </w:rPr>
  </w:style>
  <w:style w:type="paragraph" w:styleId="berschrift8">
    <w:name w:val="heading 8"/>
    <w:basedOn w:val="Standard"/>
    <w:next w:val="Standard"/>
    <w:qFormat/>
    <w:rsid w:val="00F37882"/>
    <w:pPr>
      <w:keepNext/>
      <w:jc w:val="both"/>
      <w:outlineLvl w:val="7"/>
    </w:pPr>
    <w:rPr>
      <w:rFonts w:cs="Arial"/>
      <w:b/>
      <w:bCs/>
      <w:i/>
      <w:iCs/>
      <w:sz w:val="18"/>
    </w:rPr>
  </w:style>
  <w:style w:type="paragraph" w:styleId="berschrift9">
    <w:name w:val="heading 9"/>
    <w:basedOn w:val="Standard"/>
    <w:next w:val="Standard"/>
    <w:qFormat/>
    <w:rsid w:val="00F37882"/>
    <w:pPr>
      <w:keepNext/>
      <w:outlineLvl w:val="8"/>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37882"/>
    <w:rPr>
      <w:rFonts w:ascii="Times New Roman" w:hAnsi="Times New Roman"/>
    </w:rPr>
  </w:style>
  <w:style w:type="character" w:styleId="Funotenzeichen">
    <w:name w:val="footnote reference"/>
    <w:basedOn w:val="Absatz-Standardschriftart"/>
    <w:semiHidden/>
    <w:rsid w:val="00F37882"/>
    <w:rPr>
      <w:vertAlign w:val="superscript"/>
    </w:rPr>
  </w:style>
  <w:style w:type="paragraph" w:customStyle="1" w:styleId="margre">
    <w:name w:val="margre"/>
    <w:basedOn w:val="Standard"/>
    <w:rsid w:val="00F37882"/>
    <w:pPr>
      <w:tabs>
        <w:tab w:val="left" w:pos="1418"/>
      </w:tabs>
    </w:pPr>
    <w:rPr>
      <w:rFonts w:ascii="CG Times" w:hAnsi="CG Times"/>
      <w:lang w:val="de-DE"/>
    </w:rPr>
  </w:style>
  <w:style w:type="paragraph" w:customStyle="1" w:styleId="margli">
    <w:name w:val="margli"/>
    <w:basedOn w:val="margre"/>
    <w:rsid w:val="00F37882"/>
    <w:pPr>
      <w:tabs>
        <w:tab w:val="clear" w:pos="1418"/>
        <w:tab w:val="left" w:pos="5387"/>
      </w:tabs>
    </w:pPr>
  </w:style>
  <w:style w:type="paragraph" w:styleId="Kopfzeile">
    <w:name w:val="header"/>
    <w:basedOn w:val="Standard"/>
    <w:semiHidden/>
    <w:rsid w:val="00F37882"/>
    <w:pPr>
      <w:tabs>
        <w:tab w:val="center" w:pos="4536"/>
        <w:tab w:val="right" w:pos="9072"/>
      </w:tabs>
    </w:pPr>
  </w:style>
  <w:style w:type="paragraph" w:styleId="Fuzeile">
    <w:name w:val="footer"/>
    <w:basedOn w:val="Standard"/>
    <w:semiHidden/>
    <w:rsid w:val="00F37882"/>
    <w:pPr>
      <w:tabs>
        <w:tab w:val="center" w:pos="4536"/>
        <w:tab w:val="right" w:pos="9072"/>
      </w:tabs>
    </w:pPr>
  </w:style>
  <w:style w:type="character" w:styleId="Seitenzahl">
    <w:name w:val="page number"/>
    <w:basedOn w:val="Absatz-Standardschriftart"/>
    <w:semiHidden/>
    <w:rsid w:val="00F37882"/>
  </w:style>
  <w:style w:type="character" w:styleId="Kommentarzeichen">
    <w:name w:val="annotation reference"/>
    <w:basedOn w:val="Absatz-Standardschriftart"/>
    <w:semiHidden/>
    <w:rsid w:val="00F37882"/>
    <w:rPr>
      <w:sz w:val="16"/>
    </w:rPr>
  </w:style>
  <w:style w:type="paragraph" w:styleId="Kommentartext">
    <w:name w:val="annotation text"/>
    <w:basedOn w:val="Standard"/>
    <w:semiHidden/>
    <w:rsid w:val="00F37882"/>
  </w:style>
  <w:style w:type="paragraph" w:customStyle="1" w:styleId="textoff1">
    <w:name w:val="text_off_1"/>
    <w:basedOn w:val="Standard"/>
    <w:rsid w:val="00F37882"/>
    <w:pPr>
      <w:tabs>
        <w:tab w:val="left" w:pos="4536"/>
      </w:tabs>
      <w:overflowPunct/>
      <w:autoSpaceDE/>
      <w:autoSpaceDN/>
      <w:adjustRightInd/>
      <w:spacing w:after="240"/>
      <w:jc w:val="both"/>
      <w:textAlignment w:val="auto"/>
    </w:pPr>
    <w:rPr>
      <w:rFonts w:cs="Arial"/>
      <w:sz w:val="22"/>
      <w:szCs w:val="22"/>
    </w:rPr>
  </w:style>
  <w:style w:type="paragraph" w:styleId="Aufzhlungszeichen">
    <w:name w:val="List Bullet"/>
    <w:basedOn w:val="Standard"/>
    <w:autoRedefine/>
    <w:semiHidden/>
    <w:rsid w:val="00F37882"/>
    <w:pPr>
      <w:jc w:val="both"/>
    </w:pPr>
    <w:rPr>
      <w:sz w:val="18"/>
    </w:rPr>
  </w:style>
  <w:style w:type="paragraph" w:styleId="Textkrper">
    <w:name w:val="Body Text"/>
    <w:basedOn w:val="Standard"/>
    <w:semiHidden/>
    <w:rsid w:val="00F37882"/>
    <w:pPr>
      <w:jc w:val="both"/>
    </w:pPr>
    <w:rPr>
      <w:rFonts w:cs="Arial"/>
      <w:sz w:val="18"/>
    </w:rPr>
  </w:style>
  <w:style w:type="paragraph" w:styleId="Textkrper2">
    <w:name w:val="Body Text 2"/>
    <w:basedOn w:val="Standard"/>
    <w:semiHidden/>
    <w:rsid w:val="00F37882"/>
    <w:pPr>
      <w:jc w:val="both"/>
    </w:pPr>
    <w:rPr>
      <w:rFonts w:cs="Arial"/>
      <w:b/>
      <w:bCs/>
      <w:sz w:val="18"/>
    </w:rPr>
  </w:style>
  <w:style w:type="paragraph" w:styleId="Textkrper-Zeileneinzug">
    <w:name w:val="Body Text Indent"/>
    <w:basedOn w:val="Standard"/>
    <w:semiHidden/>
    <w:rsid w:val="00F37882"/>
    <w:pPr>
      <w:ind w:left="64"/>
      <w:jc w:val="both"/>
    </w:pPr>
    <w:rPr>
      <w:rFonts w:cs="Arial"/>
    </w:rPr>
  </w:style>
  <w:style w:type="paragraph" w:styleId="Textkrper3">
    <w:name w:val="Body Text 3"/>
    <w:basedOn w:val="Standard"/>
    <w:semiHidden/>
    <w:rsid w:val="00F37882"/>
    <w:pPr>
      <w:jc w:val="both"/>
    </w:pPr>
    <w:rPr>
      <w:rFonts w:cs="Arial"/>
      <w:i/>
      <w:iCs/>
      <w:sz w:val="18"/>
    </w:rPr>
  </w:style>
  <w:style w:type="paragraph" w:styleId="Listenabsatz">
    <w:name w:val="List Paragraph"/>
    <w:basedOn w:val="Standard"/>
    <w:uiPriority w:val="34"/>
    <w:qFormat/>
    <w:rsid w:val="002C1A2B"/>
    <w:pPr>
      <w:ind w:left="720"/>
      <w:contextualSpacing/>
    </w:pPr>
  </w:style>
  <w:style w:type="paragraph" w:styleId="Sprechblasentext">
    <w:name w:val="Balloon Text"/>
    <w:basedOn w:val="Standard"/>
    <w:link w:val="SprechblasentextZchn"/>
    <w:uiPriority w:val="99"/>
    <w:semiHidden/>
    <w:unhideWhenUsed/>
    <w:rsid w:val="009434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3477"/>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BA4F-4F59-4860-BA3A-3E48C070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7814</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Teilrevision der Statuten der Pensionskasse Olten 		ENTWURF</vt:lpstr>
    </vt:vector>
  </TitlesOfParts>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Teilrevision der Statuten der Pensionskasse Olten 		ENTWURF</dc:title>
  <dc:subject/>
  <dc:creator>Kohler P.</dc:creator>
  <cp:keywords/>
  <cp:lastModifiedBy>Einwohnergemeinde</cp:lastModifiedBy>
  <cp:revision>3</cp:revision>
  <cp:lastPrinted>2011-11-21T07:09:00Z</cp:lastPrinted>
  <dcterms:created xsi:type="dcterms:W3CDTF">2011-11-28T13:25:00Z</dcterms:created>
  <dcterms:modified xsi:type="dcterms:W3CDTF">2011-11-28T13:26:00Z</dcterms:modified>
</cp:coreProperties>
</file>